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AAC7" w14:textId="0BB93C62" w:rsidR="001F2E11" w:rsidRPr="00CA27C0" w:rsidRDefault="00CA27C0" w:rsidP="00CA27C0">
      <w:pPr>
        <w:spacing w:after="0" w:line="240" w:lineRule="auto"/>
        <w:jc w:val="center"/>
        <w:rPr>
          <w:b/>
          <w:bCs/>
          <w:sz w:val="32"/>
          <w:szCs w:val="32"/>
          <w:lang w:val="en-AU"/>
        </w:rPr>
      </w:pPr>
      <w:r w:rsidRPr="00CA27C0">
        <w:rPr>
          <w:b/>
          <w:bCs/>
          <w:sz w:val="32"/>
          <w:szCs w:val="32"/>
          <w:lang w:val="en-AU"/>
        </w:rPr>
        <w:t xml:space="preserve">Issues </w:t>
      </w:r>
      <w:r w:rsidR="00644547">
        <w:rPr>
          <w:b/>
          <w:bCs/>
          <w:sz w:val="32"/>
          <w:szCs w:val="32"/>
          <w:lang w:val="en-AU"/>
        </w:rPr>
        <w:t>Considered by the Gambling Commission in</w:t>
      </w:r>
      <w:r w:rsidRPr="00CA27C0">
        <w:rPr>
          <w:b/>
          <w:bCs/>
          <w:sz w:val="32"/>
          <w:szCs w:val="32"/>
          <w:lang w:val="en-AU"/>
        </w:rPr>
        <w:t xml:space="preserve"> Gaming Applications</w:t>
      </w:r>
    </w:p>
    <w:p w14:paraId="4CC34AF7" w14:textId="7B1FCCD4" w:rsidR="009C729B" w:rsidRDefault="009C729B" w:rsidP="00CA27C0">
      <w:pPr>
        <w:spacing w:after="0" w:line="240" w:lineRule="auto"/>
        <w:jc w:val="both"/>
        <w:rPr>
          <w:sz w:val="14"/>
          <w:szCs w:val="14"/>
          <w:lang w:val="en-AU"/>
        </w:rPr>
      </w:pPr>
    </w:p>
    <w:p w14:paraId="0E01DED3" w14:textId="77777777" w:rsidR="009C729B" w:rsidRPr="009C729B" w:rsidRDefault="009C729B" w:rsidP="00CA27C0">
      <w:pPr>
        <w:spacing w:after="0" w:line="240" w:lineRule="auto"/>
        <w:jc w:val="both"/>
        <w:rPr>
          <w:sz w:val="14"/>
          <w:szCs w:val="14"/>
          <w:lang w:val="en-AU"/>
        </w:rPr>
      </w:pPr>
    </w:p>
    <w:p w14:paraId="5FF962B0" w14:textId="5FACDE6D" w:rsidR="00CA27C0" w:rsidRDefault="009C729B" w:rsidP="0023767E">
      <w:pPr>
        <w:spacing w:after="0" w:line="312" w:lineRule="auto"/>
        <w:jc w:val="both"/>
        <w:rPr>
          <w:lang w:val="en-AU"/>
        </w:rPr>
      </w:pPr>
      <w:r>
        <w:rPr>
          <w:lang w:val="en-AU"/>
        </w:rPr>
        <w:t>These notes present a summary of the range of issues which have been weighed by the Gambling and Casino Control Commission</w:t>
      </w:r>
      <w:r w:rsidR="004A29CE">
        <w:rPr>
          <w:lang w:val="en-AU"/>
        </w:rPr>
        <w:t xml:space="preserve"> (hereafter, the Commission)</w:t>
      </w:r>
      <w:r>
        <w:rPr>
          <w:lang w:val="en-AU"/>
        </w:rPr>
        <w:t xml:space="preserve"> in deciding gaming applications</w:t>
      </w:r>
      <w:r w:rsidR="004A29CE">
        <w:rPr>
          <w:lang w:val="en-AU"/>
        </w:rPr>
        <w:t>,</w:t>
      </w:r>
      <w:r>
        <w:rPr>
          <w:lang w:val="en-AU"/>
        </w:rPr>
        <w:t xml:space="preserve"> during the past decade. These issues include the social and economic impacts of applications</w:t>
      </w:r>
      <w:r w:rsidR="007D3E5C">
        <w:rPr>
          <w:lang w:val="en-AU"/>
        </w:rPr>
        <w:t>,</w:t>
      </w:r>
      <w:r>
        <w:rPr>
          <w:lang w:val="en-AU"/>
        </w:rPr>
        <w:t xml:space="preserve"> as well as the characteristics of venues and their provision of gaming.</w:t>
      </w:r>
    </w:p>
    <w:p w14:paraId="2A45C923" w14:textId="78CDF73A" w:rsidR="009C729B" w:rsidRDefault="009C729B" w:rsidP="0023767E">
      <w:pPr>
        <w:spacing w:after="0" w:line="312" w:lineRule="auto"/>
        <w:jc w:val="both"/>
        <w:rPr>
          <w:sz w:val="14"/>
          <w:szCs w:val="14"/>
          <w:lang w:val="en-AU"/>
        </w:rPr>
      </w:pPr>
    </w:p>
    <w:p w14:paraId="10925D37" w14:textId="77777777" w:rsidR="009C729B" w:rsidRPr="009C729B" w:rsidRDefault="009C729B" w:rsidP="0023767E">
      <w:pPr>
        <w:spacing w:after="0" w:line="312" w:lineRule="auto"/>
        <w:jc w:val="both"/>
        <w:rPr>
          <w:sz w:val="14"/>
          <w:szCs w:val="14"/>
          <w:lang w:val="en-AU"/>
        </w:rPr>
      </w:pPr>
    </w:p>
    <w:p w14:paraId="1E153FD5" w14:textId="6074C938" w:rsidR="006C4B7B" w:rsidRPr="006C4B7B" w:rsidRDefault="006C4B7B" w:rsidP="0023767E">
      <w:pPr>
        <w:spacing w:after="0" w:line="312" w:lineRule="auto"/>
        <w:jc w:val="both"/>
        <w:rPr>
          <w:b/>
          <w:bCs/>
          <w:lang w:val="en-AU"/>
        </w:rPr>
      </w:pPr>
      <w:r w:rsidRPr="006C4B7B">
        <w:rPr>
          <w:b/>
          <w:bCs/>
          <w:lang w:val="en-AU"/>
        </w:rPr>
        <w:t>Consideration of local areas in assessing the impact of an application</w:t>
      </w:r>
    </w:p>
    <w:p w14:paraId="747AF6E8" w14:textId="29C9391D" w:rsidR="00CA27C0" w:rsidRDefault="006C4B7B" w:rsidP="0023767E">
      <w:pPr>
        <w:spacing w:after="0" w:line="312" w:lineRule="auto"/>
        <w:jc w:val="both"/>
        <w:rPr>
          <w:lang w:val="en-AU"/>
        </w:rPr>
      </w:pPr>
      <w:r>
        <w:rPr>
          <w:lang w:val="en-AU"/>
        </w:rPr>
        <w:t>I</w:t>
      </w:r>
      <w:r w:rsidR="001C1C93">
        <w:rPr>
          <w:lang w:val="en-AU"/>
        </w:rPr>
        <w:t xml:space="preserve">n applying the ‘no net detriment test’ the </w:t>
      </w:r>
      <w:r w:rsidR="009C729B">
        <w:rPr>
          <w:lang w:val="en-AU"/>
        </w:rPr>
        <w:t xml:space="preserve">Gambling and Casino Control Commission </w:t>
      </w:r>
      <w:r w:rsidR="001C1C93">
        <w:rPr>
          <w:lang w:val="en-AU"/>
        </w:rPr>
        <w:t xml:space="preserve">considers the municipality in which venue and </w:t>
      </w:r>
      <w:r w:rsidR="005C52C6">
        <w:rPr>
          <w:lang w:val="en-AU"/>
        </w:rPr>
        <w:t xml:space="preserve">gaming machines </w:t>
      </w:r>
      <w:r w:rsidR="001C1C93">
        <w:rPr>
          <w:lang w:val="en-AU"/>
        </w:rPr>
        <w:t xml:space="preserve">are to be situated, rather than to the State as a whole. </w:t>
      </w:r>
      <w:proofErr w:type="gramStart"/>
      <w:r w:rsidR="001C1C93">
        <w:rPr>
          <w:lang w:val="en-AU"/>
        </w:rPr>
        <w:t>As a consequence</w:t>
      </w:r>
      <w:proofErr w:type="gramEnd"/>
      <w:r w:rsidR="001C1C93">
        <w:rPr>
          <w:lang w:val="en-AU"/>
        </w:rPr>
        <w:t>, benefits which flow to the state are given</w:t>
      </w:r>
      <w:r w:rsidR="005C52C6">
        <w:rPr>
          <w:lang w:val="en-AU"/>
        </w:rPr>
        <w:t xml:space="preserve"> little or</w:t>
      </w:r>
      <w:r w:rsidR="001C1C93">
        <w:rPr>
          <w:lang w:val="en-AU"/>
        </w:rPr>
        <w:t xml:space="preserve"> no weight.</w:t>
      </w:r>
    </w:p>
    <w:p w14:paraId="6B8EBE20" w14:textId="69A38C30" w:rsidR="00C90D13" w:rsidRDefault="007D3E5C" w:rsidP="0023767E">
      <w:pPr>
        <w:spacing w:after="0" w:line="312" w:lineRule="auto"/>
        <w:jc w:val="both"/>
        <w:rPr>
          <w:lang w:val="en-AU"/>
        </w:rPr>
      </w:pPr>
      <w:r>
        <w:rPr>
          <w:lang w:val="en-AU"/>
        </w:rPr>
        <w:t xml:space="preserve">In addition, the Commission tends to largely confine its consideration of the impact of a proposal upon the vicinity of the venue – generally within either 2.5 km. or 5 km. of its location. </w:t>
      </w:r>
      <w:r w:rsidR="005C52C6">
        <w:rPr>
          <w:lang w:val="en-AU"/>
        </w:rPr>
        <w:t>In</w:t>
      </w:r>
      <w:r w:rsidR="00352413">
        <w:rPr>
          <w:lang w:val="en-AU"/>
        </w:rPr>
        <w:t xml:space="preserve"> metropolitan areas, the Commission</w:t>
      </w:r>
      <w:r w:rsidR="005C52C6">
        <w:rPr>
          <w:lang w:val="en-AU"/>
        </w:rPr>
        <w:t xml:space="preserve"> generally</w:t>
      </w:r>
      <w:r w:rsidR="00352413">
        <w:rPr>
          <w:lang w:val="en-AU"/>
        </w:rPr>
        <w:t xml:space="preserve"> considers that conditions within 2.5 km. of the subject venue to be most relevant in determining the social impact of the application</w:t>
      </w:r>
      <w:r w:rsidR="00C90D13">
        <w:rPr>
          <w:lang w:val="en-AU"/>
        </w:rPr>
        <w:t>,</w:t>
      </w:r>
      <w:r w:rsidR="005C52C6">
        <w:rPr>
          <w:lang w:val="en-AU"/>
        </w:rPr>
        <w:t xml:space="preserve"> while a 5 km. radius is usually favoured</w:t>
      </w:r>
      <w:r w:rsidR="00352413">
        <w:rPr>
          <w:lang w:val="en-AU"/>
        </w:rPr>
        <w:t xml:space="preserve"> in regional and rural areas. </w:t>
      </w:r>
    </w:p>
    <w:p w14:paraId="7B39D5EF" w14:textId="335F2EBC" w:rsidR="00352413" w:rsidRDefault="00352413" w:rsidP="0023767E">
      <w:pPr>
        <w:spacing w:after="0" w:line="312" w:lineRule="auto"/>
        <w:jc w:val="both"/>
        <w:rPr>
          <w:lang w:val="en-AU"/>
        </w:rPr>
      </w:pPr>
      <w:r>
        <w:rPr>
          <w:lang w:val="en-AU"/>
        </w:rPr>
        <w:t xml:space="preserve">In determining </w:t>
      </w:r>
      <w:r w:rsidR="00C90D13">
        <w:rPr>
          <w:lang w:val="en-AU"/>
        </w:rPr>
        <w:t>these areas</w:t>
      </w:r>
      <w:r>
        <w:rPr>
          <w:lang w:val="en-AU"/>
        </w:rPr>
        <w:t xml:space="preserve">, the Commission considers matters such as the distribution of existing venue patrons, </w:t>
      </w:r>
      <w:r w:rsidR="007D3E5C">
        <w:rPr>
          <w:lang w:val="en-AU"/>
        </w:rPr>
        <w:t>selecting a distance which encompasses about</w:t>
      </w:r>
      <w:r w:rsidR="006C4B7B">
        <w:rPr>
          <w:lang w:val="en-AU"/>
        </w:rPr>
        <w:t xml:space="preserve"> half o</w:t>
      </w:r>
      <w:r w:rsidR="007D3E5C">
        <w:rPr>
          <w:lang w:val="en-AU"/>
        </w:rPr>
        <w:t xml:space="preserve">r </w:t>
      </w:r>
      <w:r w:rsidR="006C4B7B">
        <w:rPr>
          <w:lang w:val="en-AU"/>
        </w:rPr>
        <w:t xml:space="preserve">more of the gaming patrons are distributed across this wider scope, and </w:t>
      </w:r>
      <w:r>
        <w:rPr>
          <w:lang w:val="en-AU"/>
        </w:rPr>
        <w:t>the location of nearby venues –</w:t>
      </w:r>
      <w:r w:rsidR="007D3E5C">
        <w:rPr>
          <w:lang w:val="en-AU"/>
        </w:rPr>
        <w:t xml:space="preserve"> </w:t>
      </w:r>
      <w:r>
        <w:rPr>
          <w:lang w:val="en-AU"/>
        </w:rPr>
        <w:t>with</w:t>
      </w:r>
      <w:r w:rsidR="007D3E5C">
        <w:rPr>
          <w:lang w:val="en-AU"/>
        </w:rPr>
        <w:t xml:space="preserve"> a</w:t>
      </w:r>
      <w:r>
        <w:rPr>
          <w:lang w:val="en-AU"/>
        </w:rPr>
        <w:t xml:space="preserve"> 5 km radius favoured if the venue may be the nearest to residents up to 5 km</w:t>
      </w:r>
      <w:r w:rsidR="001A075E">
        <w:rPr>
          <w:lang w:val="en-AU"/>
        </w:rPr>
        <w:t>.</w:t>
      </w:r>
      <w:r>
        <w:rPr>
          <w:lang w:val="en-AU"/>
        </w:rPr>
        <w:t xml:space="preserve"> from the venue</w:t>
      </w:r>
      <w:r w:rsidR="006C4B7B">
        <w:rPr>
          <w:lang w:val="en-AU"/>
        </w:rPr>
        <w:t>.</w:t>
      </w:r>
    </w:p>
    <w:p w14:paraId="58EE3E3A" w14:textId="2361C654" w:rsidR="006C4B7B" w:rsidRDefault="006C4B7B" w:rsidP="0023767E">
      <w:pPr>
        <w:spacing w:after="0" w:line="312" w:lineRule="auto"/>
        <w:jc w:val="both"/>
        <w:rPr>
          <w:lang w:val="en-AU"/>
        </w:rPr>
      </w:pPr>
      <w:r>
        <w:rPr>
          <w:lang w:val="en-AU"/>
        </w:rPr>
        <w:t>In addition to residents in nearby residential areas, workers in industrial precincts near the venue may be considered in assessing the impact of an application.</w:t>
      </w:r>
    </w:p>
    <w:p w14:paraId="31F5E780" w14:textId="7B584DAB" w:rsidR="001C1C93" w:rsidRDefault="001C1C93" w:rsidP="0023767E">
      <w:pPr>
        <w:spacing w:after="0" w:line="312" w:lineRule="auto"/>
        <w:jc w:val="both"/>
        <w:rPr>
          <w:lang w:val="en-AU"/>
        </w:rPr>
      </w:pPr>
    </w:p>
    <w:p w14:paraId="19C8D0EF" w14:textId="629248E7" w:rsidR="00557245" w:rsidRDefault="00557245" w:rsidP="0023767E">
      <w:pPr>
        <w:spacing w:after="0" w:line="312" w:lineRule="auto"/>
        <w:jc w:val="both"/>
        <w:rPr>
          <w:b/>
          <w:bCs/>
          <w:lang w:val="en-AU"/>
        </w:rPr>
      </w:pPr>
      <w:r>
        <w:rPr>
          <w:b/>
          <w:bCs/>
          <w:lang w:val="en-AU"/>
        </w:rPr>
        <w:t xml:space="preserve">SOCIAL IMPACTS </w:t>
      </w:r>
      <w:r w:rsidR="008E231F">
        <w:rPr>
          <w:b/>
          <w:bCs/>
          <w:lang w:val="en-AU"/>
        </w:rPr>
        <w:t>OF A</w:t>
      </w:r>
      <w:r>
        <w:rPr>
          <w:b/>
          <w:bCs/>
          <w:lang w:val="en-AU"/>
        </w:rPr>
        <w:t xml:space="preserve"> PROPOSAL</w:t>
      </w:r>
    </w:p>
    <w:p w14:paraId="5F1B84B0" w14:textId="20458B3B" w:rsidR="00557245" w:rsidRDefault="00557245" w:rsidP="0023767E">
      <w:pPr>
        <w:spacing w:after="0" w:line="312" w:lineRule="auto"/>
        <w:jc w:val="both"/>
        <w:rPr>
          <w:lang w:val="en-AU"/>
        </w:rPr>
      </w:pPr>
      <w:r>
        <w:rPr>
          <w:lang w:val="en-AU"/>
        </w:rPr>
        <w:t xml:space="preserve">In assessing the prospective impact of an application, the Commission generally considers the likely increase in expenditure associated with additional gaming machines or the establishment of a new venue, as well as the possible </w:t>
      </w:r>
      <w:r w:rsidR="008E231F">
        <w:rPr>
          <w:lang w:val="en-AU"/>
        </w:rPr>
        <w:t xml:space="preserve">impact of those losses upon people who live or work </w:t>
      </w:r>
      <w:r w:rsidR="004A29CE">
        <w:rPr>
          <w:lang w:val="en-AU"/>
        </w:rPr>
        <w:t>nearby</w:t>
      </w:r>
      <w:r w:rsidR="008E231F">
        <w:rPr>
          <w:lang w:val="en-AU"/>
        </w:rPr>
        <w:t>. These considerations form the subject of this section.</w:t>
      </w:r>
    </w:p>
    <w:p w14:paraId="2D7E85D3" w14:textId="77777777" w:rsidR="008E231F" w:rsidRPr="00557245" w:rsidRDefault="008E231F" w:rsidP="0023767E">
      <w:pPr>
        <w:spacing w:after="0" w:line="312" w:lineRule="auto"/>
        <w:jc w:val="both"/>
        <w:rPr>
          <w:lang w:val="en-AU"/>
        </w:rPr>
      </w:pPr>
    </w:p>
    <w:p w14:paraId="568B73E5" w14:textId="48041161" w:rsidR="00B33F9F" w:rsidRPr="00B33F9F" w:rsidRDefault="00B33F9F" w:rsidP="0023767E">
      <w:pPr>
        <w:spacing w:after="0" w:line="312" w:lineRule="auto"/>
        <w:jc w:val="both"/>
        <w:rPr>
          <w:b/>
          <w:bCs/>
          <w:lang w:val="en-AU"/>
        </w:rPr>
      </w:pPr>
      <w:r w:rsidRPr="00B33F9F">
        <w:rPr>
          <w:b/>
          <w:bCs/>
          <w:lang w:val="en-AU"/>
        </w:rPr>
        <w:t>Segments of the community that are vulnerable to gambling problems</w:t>
      </w:r>
    </w:p>
    <w:p w14:paraId="7FA60EB8" w14:textId="2ED41D8B" w:rsidR="004D16DF" w:rsidRDefault="004D16DF" w:rsidP="0023767E">
      <w:pPr>
        <w:spacing w:after="0" w:line="312" w:lineRule="auto"/>
        <w:jc w:val="both"/>
        <w:rPr>
          <w:lang w:val="en-AU"/>
        </w:rPr>
      </w:pPr>
      <w:r>
        <w:rPr>
          <w:lang w:val="en-AU"/>
        </w:rPr>
        <w:t xml:space="preserve">The Commission </w:t>
      </w:r>
      <w:r w:rsidR="007D3E5C">
        <w:rPr>
          <w:lang w:val="en-AU"/>
        </w:rPr>
        <w:t>usually identifies a selection</w:t>
      </w:r>
      <w:r>
        <w:rPr>
          <w:lang w:val="en-AU"/>
        </w:rPr>
        <w:t xml:space="preserve"> of social conditions in the relevant vicinity of a venue </w:t>
      </w:r>
      <w:r w:rsidR="007D3E5C">
        <w:rPr>
          <w:lang w:val="en-AU"/>
        </w:rPr>
        <w:t>which may contribute</w:t>
      </w:r>
      <w:r>
        <w:rPr>
          <w:lang w:val="en-AU"/>
        </w:rPr>
        <w:t xml:space="preserve"> to vulnerability to gambling problems; among them</w:t>
      </w:r>
    </w:p>
    <w:p w14:paraId="22DAC3B6" w14:textId="63982745" w:rsidR="004D16DF" w:rsidRPr="00F93064" w:rsidRDefault="004D16DF" w:rsidP="0023767E">
      <w:pPr>
        <w:pStyle w:val="ListParagraph"/>
        <w:numPr>
          <w:ilvl w:val="0"/>
          <w:numId w:val="1"/>
        </w:numPr>
        <w:spacing w:after="0" w:line="312" w:lineRule="auto"/>
        <w:ind w:left="993"/>
        <w:jc w:val="both"/>
        <w:rPr>
          <w:lang w:val="en-AU"/>
        </w:rPr>
      </w:pPr>
      <w:r w:rsidRPr="00F93064">
        <w:rPr>
          <w:lang w:val="en-AU"/>
        </w:rPr>
        <w:t xml:space="preserve">The SEIFA Index of Relative Socio-economic </w:t>
      </w:r>
      <w:r w:rsidR="00B33F9F" w:rsidRPr="00F93064">
        <w:rPr>
          <w:lang w:val="en-AU"/>
        </w:rPr>
        <w:t>Disadvantage</w:t>
      </w:r>
    </w:p>
    <w:p w14:paraId="6A8279F8" w14:textId="3783870A" w:rsidR="004D16DF" w:rsidRPr="00F93064" w:rsidRDefault="004D16DF" w:rsidP="0023767E">
      <w:pPr>
        <w:pStyle w:val="ListParagraph"/>
        <w:numPr>
          <w:ilvl w:val="0"/>
          <w:numId w:val="1"/>
        </w:numPr>
        <w:spacing w:after="0" w:line="312" w:lineRule="auto"/>
        <w:ind w:left="993"/>
        <w:jc w:val="both"/>
        <w:rPr>
          <w:lang w:val="en-AU"/>
        </w:rPr>
      </w:pPr>
      <w:r w:rsidRPr="00F93064">
        <w:rPr>
          <w:lang w:val="en-AU"/>
        </w:rPr>
        <w:t>Incomes</w:t>
      </w:r>
    </w:p>
    <w:p w14:paraId="4BE05CFB" w14:textId="5D743727" w:rsidR="00F93064" w:rsidRPr="00F93064" w:rsidRDefault="00F93064" w:rsidP="0023767E">
      <w:pPr>
        <w:pStyle w:val="ListParagraph"/>
        <w:numPr>
          <w:ilvl w:val="0"/>
          <w:numId w:val="1"/>
        </w:numPr>
        <w:spacing w:after="0" w:line="312" w:lineRule="auto"/>
        <w:ind w:left="993"/>
        <w:jc w:val="both"/>
        <w:rPr>
          <w:lang w:val="en-AU"/>
        </w:rPr>
      </w:pPr>
      <w:r w:rsidRPr="00F93064">
        <w:rPr>
          <w:lang w:val="en-AU"/>
        </w:rPr>
        <w:t>Reliance upon government benefits and pensions</w:t>
      </w:r>
    </w:p>
    <w:p w14:paraId="7BDBDD98" w14:textId="3C6911A5" w:rsidR="004D16DF" w:rsidRPr="00F93064" w:rsidRDefault="004D16DF" w:rsidP="0023767E">
      <w:pPr>
        <w:pStyle w:val="ListParagraph"/>
        <w:numPr>
          <w:ilvl w:val="0"/>
          <w:numId w:val="1"/>
        </w:numPr>
        <w:spacing w:after="0" w:line="312" w:lineRule="auto"/>
        <w:ind w:left="993"/>
        <w:jc w:val="both"/>
        <w:rPr>
          <w:lang w:val="en-AU"/>
        </w:rPr>
      </w:pPr>
      <w:r w:rsidRPr="00F93064">
        <w:rPr>
          <w:lang w:val="en-AU"/>
        </w:rPr>
        <w:t xml:space="preserve">Unemployment levels </w:t>
      </w:r>
    </w:p>
    <w:p w14:paraId="549E6CE2" w14:textId="6C47566F" w:rsidR="001C1C93" w:rsidRPr="00F93064" w:rsidRDefault="00F93064" w:rsidP="0023767E">
      <w:pPr>
        <w:pStyle w:val="ListParagraph"/>
        <w:numPr>
          <w:ilvl w:val="0"/>
          <w:numId w:val="1"/>
        </w:numPr>
        <w:spacing w:after="0" w:line="312" w:lineRule="auto"/>
        <w:ind w:left="993"/>
        <w:jc w:val="both"/>
        <w:rPr>
          <w:lang w:val="en-AU"/>
        </w:rPr>
      </w:pPr>
      <w:r w:rsidRPr="00F93064">
        <w:rPr>
          <w:lang w:val="en-AU"/>
        </w:rPr>
        <w:t>Mortgage and rent-related financial stress</w:t>
      </w:r>
    </w:p>
    <w:p w14:paraId="07CBC75B" w14:textId="180E1CEC" w:rsidR="00F93064" w:rsidRPr="00F93064" w:rsidRDefault="00F93064" w:rsidP="0023767E">
      <w:pPr>
        <w:pStyle w:val="ListParagraph"/>
        <w:numPr>
          <w:ilvl w:val="0"/>
          <w:numId w:val="1"/>
        </w:numPr>
        <w:spacing w:after="0" w:line="312" w:lineRule="auto"/>
        <w:ind w:left="993"/>
        <w:jc w:val="both"/>
        <w:rPr>
          <w:lang w:val="en-AU"/>
        </w:rPr>
      </w:pPr>
      <w:r w:rsidRPr="00F93064">
        <w:rPr>
          <w:lang w:val="en-AU"/>
        </w:rPr>
        <w:t>Prevalence of public housing</w:t>
      </w:r>
    </w:p>
    <w:p w14:paraId="7078557C" w14:textId="40A0EF0C" w:rsidR="00F93064" w:rsidRPr="00F93064" w:rsidRDefault="00F93064" w:rsidP="0023767E">
      <w:pPr>
        <w:pStyle w:val="ListParagraph"/>
        <w:numPr>
          <w:ilvl w:val="0"/>
          <w:numId w:val="1"/>
        </w:numPr>
        <w:spacing w:after="0" w:line="312" w:lineRule="auto"/>
        <w:ind w:left="993"/>
        <w:jc w:val="both"/>
        <w:rPr>
          <w:lang w:val="en-AU"/>
        </w:rPr>
      </w:pPr>
      <w:r w:rsidRPr="00F93064">
        <w:rPr>
          <w:lang w:val="en-AU"/>
        </w:rPr>
        <w:t>Homelessness</w:t>
      </w:r>
    </w:p>
    <w:p w14:paraId="78FF78BF" w14:textId="77106738" w:rsidR="00F93064" w:rsidRPr="00F93064" w:rsidRDefault="00F93064" w:rsidP="0023767E">
      <w:pPr>
        <w:pStyle w:val="ListParagraph"/>
        <w:numPr>
          <w:ilvl w:val="0"/>
          <w:numId w:val="1"/>
        </w:numPr>
        <w:spacing w:after="0" w:line="312" w:lineRule="auto"/>
        <w:ind w:left="993"/>
        <w:jc w:val="both"/>
        <w:rPr>
          <w:lang w:val="en-AU"/>
        </w:rPr>
      </w:pPr>
      <w:r w:rsidRPr="00F93064">
        <w:rPr>
          <w:lang w:val="en-AU"/>
        </w:rPr>
        <w:t>Crime rates</w:t>
      </w:r>
    </w:p>
    <w:p w14:paraId="3B89298E" w14:textId="5428C98E" w:rsidR="00B33F9F" w:rsidRPr="00B33F9F" w:rsidRDefault="00B33F9F" w:rsidP="0023767E">
      <w:pPr>
        <w:spacing w:after="0" w:line="312" w:lineRule="auto"/>
        <w:jc w:val="both"/>
        <w:rPr>
          <w:lang w:val="en-AU"/>
        </w:rPr>
      </w:pPr>
      <w:r>
        <w:rPr>
          <w:lang w:val="en-AU"/>
        </w:rPr>
        <w:lastRenderedPageBreak/>
        <w:t>In some instance</w:t>
      </w:r>
      <w:r w:rsidR="005C52C6">
        <w:rPr>
          <w:lang w:val="en-AU"/>
        </w:rPr>
        <w:t>s</w:t>
      </w:r>
      <w:r>
        <w:rPr>
          <w:lang w:val="en-AU"/>
        </w:rPr>
        <w:t xml:space="preserve">, </w:t>
      </w:r>
      <w:r w:rsidR="007D3E5C">
        <w:rPr>
          <w:lang w:val="en-AU"/>
        </w:rPr>
        <w:t>it</w:t>
      </w:r>
      <w:r>
        <w:rPr>
          <w:lang w:val="en-AU"/>
        </w:rPr>
        <w:t xml:space="preserve"> has also acknowledged the vulnerability of </w:t>
      </w:r>
      <w:r w:rsidR="007D3E5C">
        <w:rPr>
          <w:lang w:val="en-AU"/>
        </w:rPr>
        <w:t>I</w:t>
      </w:r>
      <w:r w:rsidRPr="00B33F9F">
        <w:rPr>
          <w:lang w:val="en-AU"/>
        </w:rPr>
        <w:t>ndigenous persons</w:t>
      </w:r>
      <w:r>
        <w:rPr>
          <w:lang w:val="en-AU"/>
        </w:rPr>
        <w:t xml:space="preserve">, </w:t>
      </w:r>
      <w:r w:rsidRPr="00B33F9F">
        <w:rPr>
          <w:lang w:val="en-AU"/>
        </w:rPr>
        <w:t>recent settlers</w:t>
      </w:r>
      <w:r>
        <w:rPr>
          <w:lang w:val="en-AU"/>
        </w:rPr>
        <w:t xml:space="preserve">, people who speak languages other than English at home, and </w:t>
      </w:r>
      <w:r w:rsidRPr="00B33F9F">
        <w:rPr>
          <w:lang w:val="en-AU"/>
        </w:rPr>
        <w:t>machinery operators, drivers</w:t>
      </w:r>
      <w:r>
        <w:rPr>
          <w:lang w:val="en-AU"/>
        </w:rPr>
        <w:t xml:space="preserve"> and</w:t>
      </w:r>
      <w:r w:rsidRPr="00B33F9F">
        <w:rPr>
          <w:lang w:val="en-AU"/>
        </w:rPr>
        <w:t xml:space="preserve"> labourers</w:t>
      </w:r>
      <w:r w:rsidR="005C52C6">
        <w:rPr>
          <w:lang w:val="en-AU"/>
        </w:rPr>
        <w:t xml:space="preserve"> </w:t>
      </w:r>
      <w:r w:rsidR="007D3E5C">
        <w:rPr>
          <w:lang w:val="en-AU"/>
        </w:rPr>
        <w:t>–</w:t>
      </w:r>
      <w:r w:rsidR="005C52C6">
        <w:rPr>
          <w:lang w:val="en-AU"/>
        </w:rPr>
        <w:t xml:space="preserve"> </w:t>
      </w:r>
      <w:r w:rsidR="007D3E5C">
        <w:rPr>
          <w:lang w:val="en-AU"/>
        </w:rPr>
        <w:t>generally when prompted by evidence</w:t>
      </w:r>
      <w:r w:rsidR="005C52C6">
        <w:rPr>
          <w:lang w:val="en-AU"/>
        </w:rPr>
        <w:t xml:space="preserve"> presented</w:t>
      </w:r>
      <w:r w:rsidR="00C90D13">
        <w:rPr>
          <w:lang w:val="en-AU"/>
        </w:rPr>
        <w:t xml:space="preserve"> </w:t>
      </w:r>
      <w:r w:rsidR="007D3E5C">
        <w:rPr>
          <w:lang w:val="en-AU"/>
        </w:rPr>
        <w:t>to it at the hearing</w:t>
      </w:r>
      <w:r>
        <w:rPr>
          <w:lang w:val="en-AU"/>
        </w:rPr>
        <w:t>.</w:t>
      </w:r>
    </w:p>
    <w:p w14:paraId="16E7308C" w14:textId="7D14AB2A" w:rsidR="000E2B46" w:rsidRDefault="00C1706B" w:rsidP="0023767E">
      <w:pPr>
        <w:spacing w:after="0" w:line="312" w:lineRule="auto"/>
        <w:jc w:val="both"/>
        <w:rPr>
          <w:lang w:val="en-AU"/>
        </w:rPr>
      </w:pPr>
      <w:r>
        <w:rPr>
          <w:lang w:val="en-AU"/>
        </w:rPr>
        <w:t>On the other hand, the Commission has on occasion, identified groups of people whom it regards as being under-represented among problem gamblers, including o</w:t>
      </w:r>
      <w:r w:rsidRPr="00C1706B">
        <w:rPr>
          <w:lang w:val="en-AU"/>
        </w:rPr>
        <w:t>lder people</w:t>
      </w:r>
      <w:r w:rsidR="003B0630">
        <w:rPr>
          <w:lang w:val="en-AU"/>
        </w:rPr>
        <w:t xml:space="preserve"> – which may contribute to its often-repeated contention that applications at RSLs are less likely than others to contribute to gambling harm -</w:t>
      </w:r>
      <w:r w:rsidRPr="00C1706B">
        <w:rPr>
          <w:lang w:val="en-AU"/>
        </w:rPr>
        <w:t xml:space="preserve"> CALD residents, international studen</w:t>
      </w:r>
      <w:r>
        <w:rPr>
          <w:lang w:val="en-AU"/>
        </w:rPr>
        <w:t>t</w:t>
      </w:r>
      <w:r w:rsidRPr="00C1706B">
        <w:rPr>
          <w:lang w:val="en-AU"/>
        </w:rPr>
        <w:t xml:space="preserve">s, people with a limited education, </w:t>
      </w:r>
      <w:r w:rsidR="007D3E5C">
        <w:rPr>
          <w:lang w:val="en-AU"/>
        </w:rPr>
        <w:t>those</w:t>
      </w:r>
      <w:r w:rsidRPr="00C1706B">
        <w:rPr>
          <w:lang w:val="en-AU"/>
        </w:rPr>
        <w:t xml:space="preserve"> who have retired to the area, recent settlers, professionals, technicians and </w:t>
      </w:r>
      <w:r w:rsidR="003B0630" w:rsidRPr="00C1706B">
        <w:rPr>
          <w:lang w:val="en-AU"/>
        </w:rPr>
        <w:t>clerical</w:t>
      </w:r>
      <w:r w:rsidRPr="00C1706B">
        <w:rPr>
          <w:lang w:val="en-AU"/>
        </w:rPr>
        <w:t xml:space="preserve"> staff, and people with incomes </w:t>
      </w:r>
      <w:r w:rsidR="003B0630" w:rsidRPr="00C1706B">
        <w:rPr>
          <w:lang w:val="en-AU"/>
        </w:rPr>
        <w:t>less</w:t>
      </w:r>
      <w:r w:rsidRPr="00C1706B">
        <w:rPr>
          <w:lang w:val="en-AU"/>
        </w:rPr>
        <w:t xml:space="preserve"> than 31,000 p.a.</w:t>
      </w:r>
      <w:r>
        <w:rPr>
          <w:lang w:val="en-AU"/>
        </w:rPr>
        <w:t xml:space="preserve"> </w:t>
      </w:r>
    </w:p>
    <w:p w14:paraId="592DBB9F" w14:textId="5A575E05" w:rsidR="00CA27C0" w:rsidRDefault="003B0630" w:rsidP="0023767E">
      <w:pPr>
        <w:spacing w:after="0" w:line="312" w:lineRule="auto"/>
        <w:jc w:val="both"/>
        <w:rPr>
          <w:lang w:val="en-AU"/>
        </w:rPr>
      </w:pPr>
      <w:r>
        <w:rPr>
          <w:lang w:val="en-AU"/>
        </w:rPr>
        <w:t xml:space="preserve">In </w:t>
      </w:r>
      <w:proofErr w:type="gramStart"/>
      <w:r>
        <w:rPr>
          <w:lang w:val="en-AU"/>
        </w:rPr>
        <w:t>a number of</w:t>
      </w:r>
      <w:proofErr w:type="gramEnd"/>
      <w:r>
        <w:rPr>
          <w:lang w:val="en-AU"/>
        </w:rPr>
        <w:t xml:space="preserve"> instances, the Commission has been guided by relevant research cited by the applicant or Council</w:t>
      </w:r>
      <w:r w:rsidR="007D3E5C">
        <w:rPr>
          <w:lang w:val="en-AU"/>
        </w:rPr>
        <w:t xml:space="preserve">. This </w:t>
      </w:r>
      <w:r>
        <w:rPr>
          <w:lang w:val="en-AU"/>
        </w:rPr>
        <w:t xml:space="preserve">underscores the importance of </w:t>
      </w:r>
      <w:r w:rsidR="005C52C6">
        <w:rPr>
          <w:lang w:val="en-AU"/>
        </w:rPr>
        <w:t>corroborating</w:t>
      </w:r>
      <w:r>
        <w:rPr>
          <w:lang w:val="en-AU"/>
        </w:rPr>
        <w:t xml:space="preserve"> and claims concerning the vulnerability of </w:t>
      </w:r>
      <w:proofErr w:type="gramStart"/>
      <w:r>
        <w:rPr>
          <w:lang w:val="en-AU"/>
        </w:rPr>
        <w:t>particular segments</w:t>
      </w:r>
      <w:proofErr w:type="gramEnd"/>
      <w:r>
        <w:rPr>
          <w:lang w:val="en-AU"/>
        </w:rPr>
        <w:t xml:space="preserve"> of the local community with evidence. </w:t>
      </w:r>
      <w:r w:rsidR="007861D9">
        <w:rPr>
          <w:lang w:val="en-AU"/>
        </w:rPr>
        <w:t>Notably</w:t>
      </w:r>
      <w:r>
        <w:rPr>
          <w:lang w:val="en-AU"/>
        </w:rPr>
        <w:t>, much of the research relating to the susceptibility of people to gambling problems, relates to ‘problem gamblers’ rather than people experiencing moderate or mild gambling harm, who may encompass a broader representation of the community than problem gamblers</w:t>
      </w:r>
      <w:r w:rsidR="00C90D13">
        <w:rPr>
          <w:lang w:val="en-AU"/>
        </w:rPr>
        <w:t xml:space="preserve"> – including some of the segments of the community mentioned in the preceding paragraph</w:t>
      </w:r>
      <w:r>
        <w:rPr>
          <w:lang w:val="en-AU"/>
        </w:rPr>
        <w:t>.</w:t>
      </w:r>
    </w:p>
    <w:p w14:paraId="6BF58822" w14:textId="77777777" w:rsidR="0023767E" w:rsidRDefault="0023767E" w:rsidP="0023767E">
      <w:pPr>
        <w:spacing w:after="0" w:line="312" w:lineRule="auto"/>
        <w:jc w:val="both"/>
        <w:rPr>
          <w:b/>
          <w:bCs/>
          <w:lang w:val="en-AU"/>
        </w:rPr>
      </w:pPr>
    </w:p>
    <w:p w14:paraId="63CE5919" w14:textId="66BC96E4" w:rsidR="0094652D" w:rsidRPr="0094652D" w:rsidRDefault="0094652D" w:rsidP="0023767E">
      <w:pPr>
        <w:spacing w:after="0" w:line="312" w:lineRule="auto"/>
        <w:jc w:val="both"/>
        <w:rPr>
          <w:b/>
          <w:bCs/>
          <w:lang w:val="en-AU"/>
        </w:rPr>
      </w:pPr>
      <w:r w:rsidRPr="0094652D">
        <w:rPr>
          <w:b/>
          <w:bCs/>
          <w:lang w:val="en-AU"/>
        </w:rPr>
        <w:t>Socioeconomic disadvantage and gambling harm</w:t>
      </w:r>
    </w:p>
    <w:p w14:paraId="6777E632" w14:textId="0C552290" w:rsidR="00605E92" w:rsidRDefault="007861D9" w:rsidP="0023767E">
      <w:pPr>
        <w:spacing w:after="0" w:line="312" w:lineRule="auto"/>
        <w:jc w:val="both"/>
        <w:rPr>
          <w:lang w:val="en-AU"/>
        </w:rPr>
      </w:pPr>
      <w:r>
        <w:rPr>
          <w:lang w:val="en-AU"/>
        </w:rPr>
        <w:t>If it determines that there is a substantial</w:t>
      </w:r>
      <w:r w:rsidR="005B5C56">
        <w:rPr>
          <w:lang w:val="en-AU"/>
        </w:rPr>
        <w:t xml:space="preserve"> representation of segments of the community considered vulnerable to gambling harm</w:t>
      </w:r>
      <w:r>
        <w:rPr>
          <w:lang w:val="en-AU"/>
        </w:rPr>
        <w:t>,</w:t>
      </w:r>
      <w:r w:rsidR="005B5C56">
        <w:rPr>
          <w:lang w:val="en-AU"/>
        </w:rPr>
        <w:t xml:space="preserve"> in the vicinity of the venue, the Commission may conclude that </w:t>
      </w:r>
      <w:proofErr w:type="gramStart"/>
      <w:r>
        <w:rPr>
          <w:lang w:val="en-AU"/>
        </w:rPr>
        <w:t>local residents</w:t>
      </w:r>
      <w:proofErr w:type="gramEnd"/>
      <w:r w:rsidR="005B5C56">
        <w:rPr>
          <w:lang w:val="en-AU"/>
        </w:rPr>
        <w:t xml:space="preserve"> would be harmed by the addition of a venue or </w:t>
      </w:r>
      <w:r w:rsidR="00FB09CB">
        <w:rPr>
          <w:lang w:val="en-AU"/>
        </w:rPr>
        <w:t>further</w:t>
      </w:r>
      <w:r w:rsidR="005B5C56">
        <w:rPr>
          <w:lang w:val="en-AU"/>
        </w:rPr>
        <w:t xml:space="preserve"> EGMs. </w:t>
      </w:r>
      <w:r w:rsidR="000E2B46">
        <w:rPr>
          <w:lang w:val="en-AU"/>
        </w:rPr>
        <w:t xml:space="preserve">It is common for the Commission to express concern about the vulnerability of </w:t>
      </w:r>
      <w:proofErr w:type="gramStart"/>
      <w:r w:rsidR="000E2B46">
        <w:rPr>
          <w:lang w:val="en-AU"/>
        </w:rPr>
        <w:t>local residents</w:t>
      </w:r>
      <w:proofErr w:type="gramEnd"/>
      <w:r w:rsidR="000E2B46">
        <w:rPr>
          <w:lang w:val="en-AU"/>
        </w:rPr>
        <w:t xml:space="preserve"> in communities with low average incomes, high rates of unemployment or elevated levels of housing-related financial stress. </w:t>
      </w:r>
      <w:r w:rsidR="005B5C56">
        <w:rPr>
          <w:lang w:val="en-AU"/>
        </w:rPr>
        <w:t>Refusing an application for EGMs in one instance, the Commission observed that t</w:t>
      </w:r>
      <w:r w:rsidR="005B5C56" w:rsidRPr="005B5C56">
        <w:rPr>
          <w:lang w:val="en-AU"/>
        </w:rPr>
        <w:t>he local population “… is very vulnerable and do not have the same safety net as more affluent household areas…they have little to no ability to incur gambling losses without harm.”</w:t>
      </w:r>
      <w:r w:rsidR="005B5C56">
        <w:rPr>
          <w:lang w:val="en-AU"/>
        </w:rPr>
        <w:t xml:space="preserve"> (</w:t>
      </w:r>
      <w:r w:rsidR="005B5C56" w:rsidRPr="005B5C56">
        <w:rPr>
          <w:lang w:val="en-AU"/>
        </w:rPr>
        <w:t>2017 Noble Park Football Club, Greater Dandenong, refused</w:t>
      </w:r>
      <w:r w:rsidR="005B5C56">
        <w:rPr>
          <w:lang w:val="en-AU"/>
        </w:rPr>
        <w:t xml:space="preserve">). </w:t>
      </w:r>
    </w:p>
    <w:p w14:paraId="44DAE092" w14:textId="57EF6A66" w:rsidR="00023F8B" w:rsidRDefault="000E2B46" w:rsidP="0023767E">
      <w:pPr>
        <w:spacing w:after="0" w:line="312" w:lineRule="auto"/>
        <w:jc w:val="both"/>
        <w:rPr>
          <w:lang w:val="en-AU"/>
        </w:rPr>
      </w:pPr>
      <w:r>
        <w:rPr>
          <w:lang w:val="en-AU"/>
        </w:rPr>
        <w:t>On occasion, the</w:t>
      </w:r>
      <w:r w:rsidR="00023F8B">
        <w:rPr>
          <w:lang w:val="en-AU"/>
        </w:rPr>
        <w:t xml:space="preserve"> Commission has</w:t>
      </w:r>
      <w:r>
        <w:rPr>
          <w:lang w:val="en-AU"/>
        </w:rPr>
        <w:t xml:space="preserve"> </w:t>
      </w:r>
      <w:r w:rsidR="00023F8B">
        <w:rPr>
          <w:lang w:val="en-AU"/>
        </w:rPr>
        <w:t xml:space="preserve">also considered </w:t>
      </w:r>
      <w:r w:rsidR="00023F8B" w:rsidRPr="00C90D13">
        <w:rPr>
          <w:i/>
          <w:iCs/>
          <w:lang w:val="en-AU"/>
        </w:rPr>
        <w:t>future</w:t>
      </w:r>
      <w:r w:rsidR="00023F8B">
        <w:rPr>
          <w:lang w:val="en-AU"/>
        </w:rPr>
        <w:t xml:space="preserve"> conditions in the vicinity of a venue, noting in one instance, that </w:t>
      </w:r>
      <w:r w:rsidR="00A44F57">
        <w:rPr>
          <w:lang w:val="en-AU"/>
        </w:rPr>
        <w:t xml:space="preserve">population growth in the area may be accompanied by a deterioration in local conditions – based on evidence presented at the hearing, and on another, that an expected influx of new home buyers may raise the </w:t>
      </w:r>
      <w:r w:rsidR="007861D9">
        <w:rPr>
          <w:lang w:val="en-AU"/>
        </w:rPr>
        <w:t xml:space="preserve">local </w:t>
      </w:r>
      <w:r w:rsidR="00A44F57">
        <w:rPr>
          <w:lang w:val="en-AU"/>
        </w:rPr>
        <w:t>prevalence of mortgage-related financial stress.</w:t>
      </w:r>
    </w:p>
    <w:p w14:paraId="41BDDC5F" w14:textId="4953859E" w:rsidR="000E2B46" w:rsidRDefault="00FB09CB" w:rsidP="0023767E">
      <w:pPr>
        <w:spacing w:after="0" w:line="312" w:lineRule="auto"/>
        <w:jc w:val="both"/>
        <w:rPr>
          <w:lang w:val="en-AU"/>
        </w:rPr>
      </w:pPr>
      <w:r>
        <w:rPr>
          <w:lang w:val="en-AU"/>
        </w:rPr>
        <w:t>Conversely</w:t>
      </w:r>
      <w:r w:rsidR="005B5C56">
        <w:rPr>
          <w:lang w:val="en-AU"/>
        </w:rPr>
        <w:t xml:space="preserve">, the prospect of gambling harm arising from an </w:t>
      </w:r>
      <w:r>
        <w:rPr>
          <w:lang w:val="en-AU"/>
        </w:rPr>
        <w:t>application</w:t>
      </w:r>
      <w:r w:rsidR="005B5C56">
        <w:rPr>
          <w:lang w:val="en-AU"/>
        </w:rPr>
        <w:t xml:space="preserve"> </w:t>
      </w:r>
      <w:r w:rsidR="00023F8B">
        <w:rPr>
          <w:lang w:val="en-AU"/>
        </w:rPr>
        <w:t>is usually</w:t>
      </w:r>
      <w:r w:rsidR="005B5C56">
        <w:rPr>
          <w:lang w:val="en-AU"/>
        </w:rPr>
        <w:t xml:space="preserve"> discounted where </w:t>
      </w:r>
      <w:r w:rsidR="007861D9">
        <w:rPr>
          <w:lang w:val="en-AU"/>
        </w:rPr>
        <w:t>the Commission concludes that there</w:t>
      </w:r>
      <w:r w:rsidR="005B5C56">
        <w:rPr>
          <w:lang w:val="en-AU"/>
        </w:rPr>
        <w:t xml:space="preserve"> are few signs of socioeconomic disadvantage in vicinity of catchment of the venue.</w:t>
      </w:r>
      <w:r w:rsidR="00605E92">
        <w:rPr>
          <w:lang w:val="en-AU"/>
        </w:rPr>
        <w:t xml:space="preserve"> </w:t>
      </w:r>
    </w:p>
    <w:p w14:paraId="77384272" w14:textId="0FE43B26" w:rsidR="00B33F9F" w:rsidRDefault="00605E92" w:rsidP="0023767E">
      <w:pPr>
        <w:spacing w:after="0" w:line="312" w:lineRule="auto"/>
        <w:jc w:val="both"/>
        <w:rPr>
          <w:lang w:val="en-AU"/>
        </w:rPr>
      </w:pPr>
      <w:r>
        <w:rPr>
          <w:lang w:val="en-AU"/>
        </w:rPr>
        <w:t xml:space="preserve">Further circumstances which may lead the Commission to conclude that little harm may result from the application include </w:t>
      </w:r>
    </w:p>
    <w:p w14:paraId="02078A21" w14:textId="1C8FC86A" w:rsidR="00605E92" w:rsidRPr="00023F8B" w:rsidRDefault="00023F8B" w:rsidP="008229D9">
      <w:pPr>
        <w:pStyle w:val="ListParagraph"/>
        <w:numPr>
          <w:ilvl w:val="0"/>
          <w:numId w:val="2"/>
        </w:numPr>
        <w:spacing w:after="0" w:line="312" w:lineRule="auto"/>
        <w:ind w:left="426"/>
        <w:jc w:val="both"/>
        <w:rPr>
          <w:lang w:val="en-AU"/>
        </w:rPr>
      </w:pPr>
      <w:r>
        <w:rPr>
          <w:lang w:val="en-AU"/>
        </w:rPr>
        <w:t>T</w:t>
      </w:r>
      <w:r w:rsidR="00605E92" w:rsidRPr="00023F8B">
        <w:rPr>
          <w:lang w:val="en-AU"/>
        </w:rPr>
        <w:t xml:space="preserve">he vicinity of the venue </w:t>
      </w:r>
      <w:r>
        <w:rPr>
          <w:lang w:val="en-AU"/>
        </w:rPr>
        <w:t>is</w:t>
      </w:r>
      <w:r w:rsidR="00605E92" w:rsidRPr="00023F8B">
        <w:rPr>
          <w:lang w:val="en-AU"/>
        </w:rPr>
        <w:t xml:space="preserve"> less disadvantaged than other parts of the municipality</w:t>
      </w:r>
    </w:p>
    <w:p w14:paraId="764AD267" w14:textId="2AC9F2FF" w:rsidR="00605E92" w:rsidRPr="00023F8B" w:rsidRDefault="00605E92" w:rsidP="008229D9">
      <w:pPr>
        <w:pStyle w:val="ListParagraph"/>
        <w:numPr>
          <w:ilvl w:val="0"/>
          <w:numId w:val="2"/>
        </w:numPr>
        <w:spacing w:after="0" w:line="312" w:lineRule="auto"/>
        <w:ind w:left="426"/>
        <w:jc w:val="both"/>
        <w:rPr>
          <w:lang w:val="en-AU"/>
        </w:rPr>
      </w:pPr>
      <w:r w:rsidRPr="00023F8B">
        <w:rPr>
          <w:lang w:val="en-AU"/>
        </w:rPr>
        <w:t xml:space="preserve">Gaming patrons of the venue do not reside in the </w:t>
      </w:r>
      <w:r w:rsidR="00023F8B" w:rsidRPr="00023F8B">
        <w:rPr>
          <w:lang w:val="en-AU"/>
        </w:rPr>
        <w:t>disadvantaged</w:t>
      </w:r>
      <w:r w:rsidRPr="00023F8B">
        <w:rPr>
          <w:lang w:val="en-AU"/>
        </w:rPr>
        <w:t xml:space="preserve"> vicinity of the venue</w:t>
      </w:r>
    </w:p>
    <w:p w14:paraId="2F769F06" w14:textId="39E9E249" w:rsidR="00605E92" w:rsidRPr="00023F8B" w:rsidRDefault="00605E92" w:rsidP="008229D9">
      <w:pPr>
        <w:pStyle w:val="ListParagraph"/>
        <w:numPr>
          <w:ilvl w:val="0"/>
          <w:numId w:val="2"/>
        </w:numPr>
        <w:spacing w:after="0" w:line="312" w:lineRule="auto"/>
        <w:ind w:left="426"/>
        <w:jc w:val="both"/>
        <w:rPr>
          <w:lang w:val="en-AU"/>
        </w:rPr>
      </w:pPr>
      <w:r w:rsidRPr="00023F8B">
        <w:rPr>
          <w:lang w:val="en-AU"/>
        </w:rPr>
        <w:t xml:space="preserve">The vicinity of venue is disadvantaged compared with other parts of the municipality, but not with metropolitan </w:t>
      </w:r>
      <w:r w:rsidR="00023F8B" w:rsidRPr="00023F8B">
        <w:rPr>
          <w:lang w:val="en-AU"/>
        </w:rPr>
        <w:t>Melbourne</w:t>
      </w:r>
      <w:r w:rsidRPr="00023F8B">
        <w:rPr>
          <w:lang w:val="en-AU"/>
        </w:rPr>
        <w:t>.</w:t>
      </w:r>
    </w:p>
    <w:p w14:paraId="70400E73" w14:textId="1508A849" w:rsidR="00605E92" w:rsidRPr="00023F8B" w:rsidRDefault="00023F8B" w:rsidP="008229D9">
      <w:pPr>
        <w:pStyle w:val="ListParagraph"/>
        <w:numPr>
          <w:ilvl w:val="0"/>
          <w:numId w:val="2"/>
        </w:numPr>
        <w:spacing w:after="0" w:line="312" w:lineRule="auto"/>
        <w:ind w:left="426"/>
        <w:jc w:val="both"/>
        <w:rPr>
          <w:lang w:val="en-AU"/>
        </w:rPr>
      </w:pPr>
      <w:r w:rsidRPr="00023F8B">
        <w:rPr>
          <w:lang w:val="en-AU"/>
        </w:rPr>
        <w:t>Local, d</w:t>
      </w:r>
      <w:r w:rsidR="00605E92" w:rsidRPr="00023F8B">
        <w:rPr>
          <w:lang w:val="en-AU"/>
        </w:rPr>
        <w:t xml:space="preserve">isadvantaged residents </w:t>
      </w:r>
      <w:r w:rsidRPr="00023F8B">
        <w:rPr>
          <w:lang w:val="en-AU"/>
        </w:rPr>
        <w:t xml:space="preserve">already </w:t>
      </w:r>
      <w:r w:rsidR="00605E92" w:rsidRPr="00023F8B">
        <w:rPr>
          <w:lang w:val="en-AU"/>
        </w:rPr>
        <w:t xml:space="preserve">have access </w:t>
      </w:r>
      <w:r w:rsidRPr="00023F8B">
        <w:rPr>
          <w:lang w:val="en-AU"/>
        </w:rPr>
        <w:t>– or more convenient access – to other gaming venues</w:t>
      </w:r>
    </w:p>
    <w:p w14:paraId="4CC88126" w14:textId="430F5A7B" w:rsidR="00B33F9F" w:rsidRDefault="00B33F9F" w:rsidP="0023767E">
      <w:pPr>
        <w:spacing w:after="0" w:line="312" w:lineRule="auto"/>
        <w:jc w:val="both"/>
        <w:rPr>
          <w:lang w:val="en-AU"/>
        </w:rPr>
      </w:pPr>
    </w:p>
    <w:p w14:paraId="3F0F0C0E" w14:textId="4F060895" w:rsidR="00B33F9F" w:rsidRPr="00A44F57" w:rsidRDefault="00A44F57" w:rsidP="0023767E">
      <w:pPr>
        <w:spacing w:after="0" w:line="312" w:lineRule="auto"/>
        <w:jc w:val="both"/>
        <w:rPr>
          <w:b/>
          <w:bCs/>
          <w:lang w:val="en-AU"/>
        </w:rPr>
      </w:pPr>
      <w:r w:rsidRPr="00A44F57">
        <w:rPr>
          <w:b/>
          <w:bCs/>
          <w:lang w:val="en-AU"/>
        </w:rPr>
        <w:lastRenderedPageBreak/>
        <w:t>The scope of gambling harm</w:t>
      </w:r>
    </w:p>
    <w:p w14:paraId="358419DD" w14:textId="1F2C5B57" w:rsidR="00A44F57" w:rsidRDefault="0098495E" w:rsidP="0023767E">
      <w:pPr>
        <w:spacing w:after="0" w:line="312" w:lineRule="auto"/>
        <w:jc w:val="both"/>
        <w:rPr>
          <w:lang w:val="en-AU"/>
        </w:rPr>
      </w:pPr>
      <w:r w:rsidRPr="0098495E">
        <w:rPr>
          <w:i/>
          <w:iCs/>
          <w:lang w:val="en-AU"/>
        </w:rPr>
        <w:t>Range of gambling harm</w:t>
      </w:r>
      <w:r>
        <w:rPr>
          <w:lang w:val="en-AU"/>
        </w:rPr>
        <w:t xml:space="preserve">: </w:t>
      </w:r>
      <w:r w:rsidR="00C90D13">
        <w:rPr>
          <w:lang w:val="en-AU"/>
        </w:rPr>
        <w:t>T</w:t>
      </w:r>
      <w:r w:rsidR="00A44F57">
        <w:rPr>
          <w:lang w:val="en-AU"/>
        </w:rPr>
        <w:t xml:space="preserve">he </w:t>
      </w:r>
      <w:r w:rsidR="007E141B">
        <w:rPr>
          <w:lang w:val="en-AU"/>
        </w:rPr>
        <w:t>Commission</w:t>
      </w:r>
      <w:r w:rsidR="00A44F57">
        <w:rPr>
          <w:lang w:val="en-AU"/>
        </w:rPr>
        <w:t xml:space="preserve"> </w:t>
      </w:r>
      <w:r w:rsidR="00C90D13">
        <w:rPr>
          <w:lang w:val="en-AU"/>
        </w:rPr>
        <w:t>recognises</w:t>
      </w:r>
      <w:r w:rsidR="00A44F57">
        <w:rPr>
          <w:lang w:val="en-AU"/>
        </w:rPr>
        <w:t xml:space="preserve"> that gambling harm includes the severe </w:t>
      </w:r>
      <w:r w:rsidR="007E141B">
        <w:rPr>
          <w:lang w:val="en-AU"/>
        </w:rPr>
        <w:t>harm</w:t>
      </w:r>
      <w:r w:rsidR="00A44F57">
        <w:rPr>
          <w:lang w:val="en-AU"/>
        </w:rPr>
        <w:t>, often experienced by ‘problem gamblers’, as well as moderate and mild gambling harm. This has important implications for the presentation and interpretation of evidence. For example, while some studies conclude that older people are</w:t>
      </w:r>
      <w:r w:rsidR="007861D9">
        <w:rPr>
          <w:lang w:val="en-AU"/>
        </w:rPr>
        <w:t xml:space="preserve"> slightly</w:t>
      </w:r>
      <w:r w:rsidR="00A44F57">
        <w:rPr>
          <w:lang w:val="en-AU"/>
        </w:rPr>
        <w:t xml:space="preserve"> under-represented among problem gamblers, their high levels of dependence upon fixed and limited incomes, may </w:t>
      </w:r>
      <w:r w:rsidR="007E141B">
        <w:rPr>
          <w:lang w:val="en-AU"/>
        </w:rPr>
        <w:t>expose</w:t>
      </w:r>
      <w:r w:rsidR="00A44F57">
        <w:rPr>
          <w:lang w:val="en-AU"/>
        </w:rPr>
        <w:t xml:space="preserve"> them to </w:t>
      </w:r>
      <w:r w:rsidR="000E2B46">
        <w:rPr>
          <w:lang w:val="en-AU"/>
        </w:rPr>
        <w:t>elevated</w:t>
      </w:r>
      <w:r w:rsidR="00A44F57">
        <w:rPr>
          <w:lang w:val="en-AU"/>
        </w:rPr>
        <w:t xml:space="preserve"> risks of moderate or mild gambling harm.</w:t>
      </w:r>
    </w:p>
    <w:p w14:paraId="06CB8548" w14:textId="199ED4C0" w:rsidR="007E141B" w:rsidRDefault="0098495E" w:rsidP="0023767E">
      <w:pPr>
        <w:spacing w:before="60" w:after="0" w:line="312" w:lineRule="auto"/>
        <w:jc w:val="both"/>
        <w:rPr>
          <w:lang w:val="en-AU"/>
        </w:rPr>
      </w:pPr>
      <w:r w:rsidRPr="0098495E">
        <w:rPr>
          <w:i/>
          <w:iCs/>
          <w:lang w:val="en-AU"/>
        </w:rPr>
        <w:t>Prevalence of gambling harm</w:t>
      </w:r>
      <w:r>
        <w:rPr>
          <w:lang w:val="en-AU"/>
        </w:rPr>
        <w:t xml:space="preserve">: </w:t>
      </w:r>
      <w:r w:rsidR="007E141B">
        <w:rPr>
          <w:lang w:val="en-AU"/>
        </w:rPr>
        <w:t xml:space="preserve">The Commission generally does not accept the </w:t>
      </w:r>
      <w:r w:rsidR="00930900">
        <w:rPr>
          <w:lang w:val="en-AU"/>
        </w:rPr>
        <w:t>proposition</w:t>
      </w:r>
      <w:r w:rsidR="007E141B">
        <w:rPr>
          <w:lang w:val="en-AU"/>
        </w:rPr>
        <w:t xml:space="preserve">, advanced by the </w:t>
      </w:r>
      <w:r w:rsidR="00930900">
        <w:rPr>
          <w:lang w:val="en-AU"/>
        </w:rPr>
        <w:t>Productivity</w:t>
      </w:r>
      <w:r w:rsidR="007E141B">
        <w:rPr>
          <w:lang w:val="en-AU"/>
        </w:rPr>
        <w:t xml:space="preserve"> Commission, that 40% of gaming </w:t>
      </w:r>
      <w:r w:rsidR="00930900">
        <w:rPr>
          <w:lang w:val="en-AU"/>
        </w:rPr>
        <w:t>expenditure</w:t>
      </w:r>
      <w:r w:rsidR="007E141B">
        <w:rPr>
          <w:lang w:val="en-AU"/>
        </w:rPr>
        <w:t xml:space="preserve"> may be </w:t>
      </w:r>
      <w:r w:rsidR="00930900">
        <w:rPr>
          <w:lang w:val="en-AU"/>
        </w:rPr>
        <w:t>attributed</w:t>
      </w:r>
      <w:r w:rsidR="007E141B">
        <w:rPr>
          <w:lang w:val="en-AU"/>
        </w:rPr>
        <w:t xml:space="preserve"> </w:t>
      </w:r>
      <w:r w:rsidR="00930900">
        <w:rPr>
          <w:lang w:val="en-AU"/>
        </w:rPr>
        <w:t>to</w:t>
      </w:r>
      <w:r w:rsidR="007E141B">
        <w:rPr>
          <w:lang w:val="en-AU"/>
        </w:rPr>
        <w:t xml:space="preserve"> problem gamblers. </w:t>
      </w:r>
      <w:r w:rsidR="00C90D13">
        <w:rPr>
          <w:lang w:val="en-AU"/>
        </w:rPr>
        <w:t>Instead</w:t>
      </w:r>
      <w:r w:rsidR="007E141B">
        <w:rPr>
          <w:lang w:val="en-AU"/>
        </w:rPr>
        <w:t xml:space="preserve">, </w:t>
      </w:r>
      <w:r w:rsidR="00AA6B36">
        <w:rPr>
          <w:lang w:val="en-AU"/>
        </w:rPr>
        <w:t>it has been inclined to conclude</w:t>
      </w:r>
      <w:r w:rsidR="007E141B">
        <w:rPr>
          <w:lang w:val="en-AU"/>
        </w:rPr>
        <w:t xml:space="preserve"> that such </w:t>
      </w:r>
      <w:r w:rsidR="00C90D13">
        <w:rPr>
          <w:lang w:val="en-AU"/>
        </w:rPr>
        <w:t>matters</w:t>
      </w:r>
      <w:r w:rsidR="007E141B">
        <w:rPr>
          <w:lang w:val="en-AU"/>
        </w:rPr>
        <w:t xml:space="preserve"> cannot be determined without consideration of the </w:t>
      </w:r>
      <w:proofErr w:type="gramStart"/>
      <w:r w:rsidR="007E141B">
        <w:rPr>
          <w:lang w:val="en-AU"/>
        </w:rPr>
        <w:t>particular features</w:t>
      </w:r>
      <w:proofErr w:type="gramEnd"/>
      <w:r w:rsidR="007E141B">
        <w:rPr>
          <w:lang w:val="en-AU"/>
        </w:rPr>
        <w:t xml:space="preserve"> of the venue and local community</w:t>
      </w:r>
      <w:r w:rsidR="00C90D13">
        <w:rPr>
          <w:lang w:val="en-AU"/>
        </w:rPr>
        <w:t xml:space="preserve"> </w:t>
      </w:r>
      <w:r w:rsidR="007B57BB">
        <w:rPr>
          <w:lang w:val="en-AU"/>
        </w:rPr>
        <w:t>– though generally without reviewing relevant evidence and presenting its own estimate of the proportion of gaming expenditure which might be attributed to problem gambling</w:t>
      </w:r>
      <w:r w:rsidR="007E141B">
        <w:rPr>
          <w:lang w:val="en-AU"/>
        </w:rPr>
        <w:t>.</w:t>
      </w:r>
      <w:r w:rsidR="00872EDD">
        <w:rPr>
          <w:lang w:val="en-AU"/>
        </w:rPr>
        <w:t xml:space="preserve"> Any effort to advance the </w:t>
      </w:r>
      <w:r w:rsidR="00930900">
        <w:rPr>
          <w:lang w:val="en-AU"/>
        </w:rPr>
        <w:t>proposition</w:t>
      </w:r>
      <w:r w:rsidR="00872EDD">
        <w:rPr>
          <w:lang w:val="en-AU"/>
        </w:rPr>
        <w:t xml:space="preserve"> that a high </w:t>
      </w:r>
      <w:r w:rsidR="00930900">
        <w:rPr>
          <w:lang w:val="en-AU"/>
        </w:rPr>
        <w:t>proportion</w:t>
      </w:r>
      <w:r w:rsidR="00872EDD">
        <w:rPr>
          <w:lang w:val="en-AU"/>
        </w:rPr>
        <w:t xml:space="preserve"> of gaming expenditure originated from problem gamblers </w:t>
      </w:r>
      <w:r w:rsidR="00286EDD">
        <w:rPr>
          <w:lang w:val="en-AU"/>
        </w:rPr>
        <w:t>should</w:t>
      </w:r>
      <w:r w:rsidR="007B57BB">
        <w:rPr>
          <w:lang w:val="en-AU"/>
        </w:rPr>
        <w:t xml:space="preserve"> therefore</w:t>
      </w:r>
      <w:r w:rsidR="00872EDD">
        <w:rPr>
          <w:lang w:val="en-AU"/>
        </w:rPr>
        <w:t xml:space="preserve"> to be accompanied by evidence relating specifically to the conditions of the application or the subject venue.</w:t>
      </w:r>
    </w:p>
    <w:p w14:paraId="7FA15D31" w14:textId="34926B92" w:rsidR="00872EDD" w:rsidRDefault="00872EDD" w:rsidP="0023767E">
      <w:pPr>
        <w:spacing w:after="0" w:line="312" w:lineRule="auto"/>
        <w:jc w:val="both"/>
        <w:rPr>
          <w:lang w:val="en-AU"/>
        </w:rPr>
      </w:pPr>
      <w:r>
        <w:rPr>
          <w:lang w:val="en-AU"/>
        </w:rPr>
        <w:t>Notably</w:t>
      </w:r>
      <w:r w:rsidR="00AA6B36">
        <w:rPr>
          <w:lang w:val="en-AU"/>
        </w:rPr>
        <w:t xml:space="preserve"> though</w:t>
      </w:r>
      <w:r>
        <w:rPr>
          <w:lang w:val="en-AU"/>
        </w:rPr>
        <w:t xml:space="preserve">, little mention is made of the fact that, in </w:t>
      </w:r>
      <w:r w:rsidR="00930900">
        <w:rPr>
          <w:lang w:val="en-AU"/>
        </w:rPr>
        <w:t>addition</w:t>
      </w:r>
      <w:r>
        <w:rPr>
          <w:lang w:val="en-AU"/>
        </w:rPr>
        <w:t xml:space="preserve"> to problem gamblers, </w:t>
      </w:r>
      <w:r w:rsidR="00286EDD">
        <w:rPr>
          <w:lang w:val="en-AU"/>
        </w:rPr>
        <w:t>people</w:t>
      </w:r>
      <w:r>
        <w:rPr>
          <w:lang w:val="en-AU"/>
        </w:rPr>
        <w:t xml:space="preserve"> experiencing moderate or mild gambling harm </w:t>
      </w:r>
      <w:r w:rsidR="00930900">
        <w:rPr>
          <w:lang w:val="en-AU"/>
        </w:rPr>
        <w:t>make a further contribution go gaming expenditure.</w:t>
      </w:r>
      <w:r>
        <w:rPr>
          <w:lang w:val="en-AU"/>
        </w:rPr>
        <w:t xml:space="preserve"> </w:t>
      </w:r>
      <w:r w:rsidR="00AA6B36">
        <w:rPr>
          <w:lang w:val="en-AU"/>
        </w:rPr>
        <w:t>Th</w:t>
      </w:r>
      <w:r w:rsidR="009A026A">
        <w:rPr>
          <w:lang w:val="en-AU"/>
        </w:rPr>
        <w:t xml:space="preserve">e notion that </w:t>
      </w:r>
      <w:r w:rsidR="007861D9">
        <w:rPr>
          <w:lang w:val="en-AU"/>
        </w:rPr>
        <w:t>those</w:t>
      </w:r>
      <w:r w:rsidR="009A026A">
        <w:rPr>
          <w:lang w:val="en-AU"/>
        </w:rPr>
        <w:t xml:space="preserve"> affected by gambling include </w:t>
      </w:r>
      <w:r w:rsidR="007861D9">
        <w:rPr>
          <w:lang w:val="en-AU"/>
        </w:rPr>
        <w:t>people</w:t>
      </w:r>
      <w:r w:rsidR="009A026A">
        <w:rPr>
          <w:lang w:val="en-AU"/>
        </w:rPr>
        <w:t xml:space="preserve"> who experience moderate or mild harm, </w:t>
      </w:r>
      <w:r w:rsidR="00AA6B36">
        <w:rPr>
          <w:lang w:val="en-AU"/>
        </w:rPr>
        <w:t>is a proposition which is accepted by the Commission</w:t>
      </w:r>
      <w:r w:rsidR="00286EDD">
        <w:rPr>
          <w:lang w:val="en-AU"/>
        </w:rPr>
        <w:t xml:space="preserve"> in principle</w:t>
      </w:r>
      <w:r w:rsidR="00AA6B36">
        <w:rPr>
          <w:lang w:val="en-AU"/>
        </w:rPr>
        <w:t xml:space="preserve"> and </w:t>
      </w:r>
      <w:r w:rsidR="007B57BB">
        <w:rPr>
          <w:lang w:val="en-AU"/>
        </w:rPr>
        <w:t>well</w:t>
      </w:r>
      <w:r w:rsidR="00AA6B36">
        <w:rPr>
          <w:lang w:val="en-AU"/>
        </w:rPr>
        <w:t xml:space="preserve"> supported </w:t>
      </w:r>
      <w:r w:rsidR="007B57BB">
        <w:rPr>
          <w:lang w:val="en-AU"/>
        </w:rPr>
        <w:t>by</w:t>
      </w:r>
      <w:r w:rsidR="00AA6B36">
        <w:rPr>
          <w:lang w:val="en-AU"/>
        </w:rPr>
        <w:t xml:space="preserve"> the research.</w:t>
      </w:r>
    </w:p>
    <w:p w14:paraId="2AD8415D" w14:textId="42F06C89" w:rsidR="007E141B" w:rsidRDefault="0098495E" w:rsidP="0023767E">
      <w:pPr>
        <w:spacing w:before="60" w:after="0" w:line="312" w:lineRule="auto"/>
        <w:jc w:val="both"/>
        <w:rPr>
          <w:lang w:val="en-AU"/>
        </w:rPr>
      </w:pPr>
      <w:r w:rsidRPr="0098495E">
        <w:rPr>
          <w:i/>
          <w:iCs/>
          <w:lang w:val="en-AU"/>
        </w:rPr>
        <w:t>Gambler’s Help data</w:t>
      </w:r>
      <w:r>
        <w:rPr>
          <w:lang w:val="en-AU"/>
        </w:rPr>
        <w:t xml:space="preserve">: </w:t>
      </w:r>
      <w:r w:rsidR="007861D9">
        <w:rPr>
          <w:lang w:val="en-AU"/>
        </w:rPr>
        <w:t xml:space="preserve">Efforts by witnesses at gaming hearings </w:t>
      </w:r>
      <w:r w:rsidR="00E85652">
        <w:rPr>
          <w:lang w:val="en-AU"/>
        </w:rPr>
        <w:t xml:space="preserve">to </w:t>
      </w:r>
      <w:r w:rsidR="005C6EBA">
        <w:rPr>
          <w:lang w:val="en-AU"/>
        </w:rPr>
        <w:t>use</w:t>
      </w:r>
      <w:r w:rsidR="00E85652">
        <w:rPr>
          <w:lang w:val="en-AU"/>
        </w:rPr>
        <w:t xml:space="preserve"> information about of clients assisted by the local Gambler’s Help agency</w:t>
      </w:r>
      <w:r w:rsidR="007861D9">
        <w:rPr>
          <w:lang w:val="en-AU"/>
        </w:rPr>
        <w:t xml:space="preserve"> to establish the relative prevalence of gambling problems among the community in the vicinity of a venue,</w:t>
      </w:r>
      <w:r w:rsidR="00E85652">
        <w:rPr>
          <w:lang w:val="en-AU"/>
        </w:rPr>
        <w:t xml:space="preserve"> appear to be unavailing. First, the number of people </w:t>
      </w:r>
      <w:r w:rsidR="005C6EBA">
        <w:rPr>
          <w:lang w:val="en-AU"/>
        </w:rPr>
        <w:t>assisted</w:t>
      </w:r>
      <w:r w:rsidR="00E85652">
        <w:rPr>
          <w:lang w:val="en-AU"/>
        </w:rPr>
        <w:t xml:space="preserve"> by this agency may </w:t>
      </w:r>
      <w:proofErr w:type="gramStart"/>
      <w:r w:rsidR="00E85652">
        <w:rPr>
          <w:lang w:val="en-AU"/>
        </w:rPr>
        <w:t xml:space="preserve">be a </w:t>
      </w:r>
      <w:r w:rsidR="005C6EBA">
        <w:rPr>
          <w:lang w:val="en-AU"/>
        </w:rPr>
        <w:t>reflection</w:t>
      </w:r>
      <w:r w:rsidR="00E85652">
        <w:rPr>
          <w:lang w:val="en-AU"/>
        </w:rPr>
        <w:t xml:space="preserve"> of</w:t>
      </w:r>
      <w:proofErr w:type="gramEnd"/>
      <w:r w:rsidR="00E85652">
        <w:rPr>
          <w:lang w:val="en-AU"/>
        </w:rPr>
        <w:t xml:space="preserve"> circumstances other than the local prevalence of problem </w:t>
      </w:r>
      <w:r w:rsidR="005C6EBA">
        <w:rPr>
          <w:lang w:val="en-AU"/>
        </w:rPr>
        <w:t>gambling</w:t>
      </w:r>
      <w:r w:rsidR="00E85652">
        <w:rPr>
          <w:lang w:val="en-AU"/>
        </w:rPr>
        <w:t xml:space="preserve">, the Commission explaining that such data are </w:t>
      </w:r>
      <w:r w:rsidR="007861D9">
        <w:rPr>
          <w:lang w:val="en-AU"/>
        </w:rPr>
        <w:t>‘</w:t>
      </w:r>
      <w:r w:rsidR="00E85652" w:rsidRPr="00E85652">
        <w:rPr>
          <w:lang w:val="en-AU"/>
        </w:rPr>
        <w:t xml:space="preserve">inherently unreliable’ since this pattern of clientele could reflect the effectiveness of the service in that area, the accessibility of the service to residents of </w:t>
      </w:r>
      <w:r w:rsidR="007B57BB">
        <w:rPr>
          <w:lang w:val="en-AU"/>
        </w:rPr>
        <w:t>the local area,</w:t>
      </w:r>
      <w:r w:rsidR="00E85652" w:rsidRPr="00E85652">
        <w:rPr>
          <w:lang w:val="en-AU"/>
        </w:rPr>
        <w:t xml:space="preserve"> or other factors.</w:t>
      </w:r>
      <w:r w:rsidR="00E85652">
        <w:rPr>
          <w:lang w:val="en-AU"/>
        </w:rPr>
        <w:t xml:space="preserve"> </w:t>
      </w:r>
      <w:r w:rsidR="007861D9">
        <w:rPr>
          <w:lang w:val="en-AU"/>
        </w:rPr>
        <w:t>In any case</w:t>
      </w:r>
      <w:r w:rsidR="00E85652">
        <w:rPr>
          <w:lang w:val="en-AU"/>
        </w:rPr>
        <w:t xml:space="preserve">, Gambler’s Help clients would account for a small </w:t>
      </w:r>
      <w:r w:rsidR="005C6EBA">
        <w:rPr>
          <w:lang w:val="en-AU"/>
        </w:rPr>
        <w:t>proportion</w:t>
      </w:r>
      <w:r w:rsidR="00E85652">
        <w:rPr>
          <w:lang w:val="en-AU"/>
        </w:rPr>
        <w:t xml:space="preserve"> of people in the </w:t>
      </w:r>
      <w:r w:rsidR="005C6EBA">
        <w:rPr>
          <w:lang w:val="en-AU"/>
        </w:rPr>
        <w:t>vicinity</w:t>
      </w:r>
      <w:r w:rsidR="00E85652">
        <w:rPr>
          <w:lang w:val="en-AU"/>
        </w:rPr>
        <w:t xml:space="preserve"> </w:t>
      </w:r>
      <w:r w:rsidR="005C6EBA">
        <w:rPr>
          <w:lang w:val="en-AU"/>
        </w:rPr>
        <w:t>of</w:t>
      </w:r>
      <w:r w:rsidR="00E85652">
        <w:rPr>
          <w:lang w:val="en-AU"/>
        </w:rPr>
        <w:t xml:space="preserve"> </w:t>
      </w:r>
      <w:r w:rsidR="007B57BB">
        <w:rPr>
          <w:lang w:val="en-AU"/>
        </w:rPr>
        <w:t>a</w:t>
      </w:r>
      <w:r w:rsidR="00E85652">
        <w:rPr>
          <w:lang w:val="en-AU"/>
        </w:rPr>
        <w:t xml:space="preserve"> venue who may be </w:t>
      </w:r>
      <w:r w:rsidR="00AA6B36">
        <w:rPr>
          <w:lang w:val="en-AU"/>
        </w:rPr>
        <w:t>experiencing</w:t>
      </w:r>
      <w:r w:rsidR="00E85652">
        <w:rPr>
          <w:lang w:val="en-AU"/>
        </w:rPr>
        <w:t xml:space="preserve"> </w:t>
      </w:r>
      <w:r w:rsidR="005C6EBA">
        <w:rPr>
          <w:lang w:val="en-AU"/>
        </w:rPr>
        <w:t>gambling</w:t>
      </w:r>
      <w:r w:rsidR="00E85652">
        <w:rPr>
          <w:lang w:val="en-AU"/>
        </w:rPr>
        <w:t xml:space="preserve"> harm</w:t>
      </w:r>
      <w:r w:rsidR="007861D9">
        <w:rPr>
          <w:lang w:val="en-AU"/>
        </w:rPr>
        <w:t xml:space="preserve"> </w:t>
      </w:r>
      <w:r w:rsidR="00E85652">
        <w:rPr>
          <w:lang w:val="en-AU"/>
        </w:rPr>
        <w:t xml:space="preserve">– as the Commission has </w:t>
      </w:r>
      <w:r w:rsidR="005C6EBA">
        <w:rPr>
          <w:lang w:val="en-AU"/>
        </w:rPr>
        <w:t>acknowledged</w:t>
      </w:r>
      <w:r w:rsidR="00E85652">
        <w:rPr>
          <w:lang w:val="en-AU"/>
        </w:rPr>
        <w:t xml:space="preserve"> – making such data </w:t>
      </w:r>
      <w:r w:rsidR="005C6EBA">
        <w:rPr>
          <w:lang w:val="en-AU"/>
        </w:rPr>
        <w:t>valueless</w:t>
      </w:r>
      <w:r w:rsidR="00E85652">
        <w:rPr>
          <w:lang w:val="en-AU"/>
        </w:rPr>
        <w:t xml:space="preserve"> as a means for</w:t>
      </w:r>
      <w:r w:rsidR="006F0CC5">
        <w:rPr>
          <w:lang w:val="en-AU"/>
        </w:rPr>
        <w:t xml:space="preserve"> reliably</w:t>
      </w:r>
      <w:r w:rsidR="00E85652">
        <w:rPr>
          <w:lang w:val="en-AU"/>
        </w:rPr>
        <w:t xml:space="preserve"> gauging the local prevalence of gambling harm.</w:t>
      </w:r>
    </w:p>
    <w:p w14:paraId="5E79F4E7" w14:textId="409CD598" w:rsidR="0094652D" w:rsidRDefault="0098495E" w:rsidP="0023767E">
      <w:pPr>
        <w:spacing w:before="60" w:after="0" w:line="312" w:lineRule="auto"/>
        <w:jc w:val="both"/>
        <w:rPr>
          <w:lang w:val="en-AU"/>
        </w:rPr>
      </w:pPr>
      <w:r w:rsidRPr="0098495E">
        <w:rPr>
          <w:i/>
          <w:iCs/>
          <w:lang w:val="en-AU"/>
        </w:rPr>
        <w:t>Access to local welfare</w:t>
      </w:r>
      <w:r>
        <w:rPr>
          <w:lang w:val="en-AU"/>
        </w:rPr>
        <w:t xml:space="preserve"> </w:t>
      </w:r>
      <w:r w:rsidRPr="0098495E">
        <w:rPr>
          <w:i/>
          <w:iCs/>
          <w:lang w:val="en-AU"/>
        </w:rPr>
        <w:t>agencies</w:t>
      </w:r>
      <w:r>
        <w:rPr>
          <w:lang w:val="en-AU"/>
        </w:rPr>
        <w:t xml:space="preserve">: </w:t>
      </w:r>
      <w:r w:rsidR="00AA6B36">
        <w:rPr>
          <w:lang w:val="en-AU"/>
        </w:rPr>
        <w:t xml:space="preserve">Efforts have been made to argue that the absence of welfare agencies in a community would expose residents to the prospect of greater harm than otherwise, from problem gambling. </w:t>
      </w:r>
      <w:r w:rsidR="007861D9">
        <w:rPr>
          <w:lang w:val="en-AU"/>
        </w:rPr>
        <w:t>T</w:t>
      </w:r>
      <w:r w:rsidR="00AA6B36">
        <w:rPr>
          <w:lang w:val="en-AU"/>
        </w:rPr>
        <w:t xml:space="preserve">he Commission </w:t>
      </w:r>
      <w:r w:rsidR="00AF1EE8">
        <w:rPr>
          <w:lang w:val="en-AU"/>
        </w:rPr>
        <w:t>is not</w:t>
      </w:r>
      <w:r w:rsidR="00AA6B36">
        <w:rPr>
          <w:lang w:val="en-AU"/>
        </w:rPr>
        <w:t xml:space="preserve"> disposed to accor</w:t>
      </w:r>
      <w:r w:rsidR="00AF1EE8">
        <w:rPr>
          <w:lang w:val="en-AU"/>
        </w:rPr>
        <w:t xml:space="preserve">d much weight to this argument </w:t>
      </w:r>
      <w:r w:rsidR="001F7101">
        <w:rPr>
          <w:lang w:val="en-AU"/>
        </w:rPr>
        <w:t xml:space="preserve">though, </w:t>
      </w:r>
      <w:r w:rsidR="00AF1EE8">
        <w:rPr>
          <w:lang w:val="en-AU"/>
        </w:rPr>
        <w:t>if it has concluded that the proposal is unlikely to cause much gambling harm in the first place.</w:t>
      </w:r>
    </w:p>
    <w:p w14:paraId="4AF0C7E6" w14:textId="12318EAF" w:rsidR="0094652D" w:rsidRDefault="0094652D" w:rsidP="0023767E">
      <w:pPr>
        <w:spacing w:after="0" w:line="312" w:lineRule="auto"/>
        <w:jc w:val="both"/>
        <w:rPr>
          <w:lang w:val="en-AU"/>
        </w:rPr>
      </w:pPr>
    </w:p>
    <w:p w14:paraId="123B9808" w14:textId="4B9E1762" w:rsidR="0094652D" w:rsidRPr="001704D8" w:rsidRDefault="008E231F" w:rsidP="0023767E">
      <w:pPr>
        <w:spacing w:after="0" w:line="312" w:lineRule="auto"/>
        <w:jc w:val="both"/>
        <w:rPr>
          <w:b/>
          <w:bCs/>
          <w:lang w:val="en-AU"/>
        </w:rPr>
      </w:pPr>
      <w:r>
        <w:rPr>
          <w:b/>
          <w:bCs/>
          <w:lang w:val="en-AU"/>
        </w:rPr>
        <w:t>The impact of rises in gaming e</w:t>
      </w:r>
      <w:r w:rsidR="001704D8" w:rsidRPr="001704D8">
        <w:rPr>
          <w:b/>
          <w:bCs/>
          <w:lang w:val="en-AU"/>
        </w:rPr>
        <w:t>xpenditure</w:t>
      </w:r>
      <w:r>
        <w:rPr>
          <w:b/>
          <w:bCs/>
          <w:lang w:val="en-AU"/>
        </w:rPr>
        <w:t xml:space="preserve"> or</w:t>
      </w:r>
      <w:r w:rsidR="001704D8" w:rsidRPr="001704D8">
        <w:rPr>
          <w:b/>
          <w:bCs/>
          <w:lang w:val="en-AU"/>
        </w:rPr>
        <w:t xml:space="preserve"> </w:t>
      </w:r>
      <w:r>
        <w:rPr>
          <w:b/>
          <w:bCs/>
          <w:lang w:val="en-AU"/>
        </w:rPr>
        <w:t>machines</w:t>
      </w:r>
      <w:r w:rsidR="001704D8" w:rsidRPr="001704D8">
        <w:rPr>
          <w:b/>
          <w:bCs/>
          <w:lang w:val="en-AU"/>
        </w:rPr>
        <w:t xml:space="preserve"> </w:t>
      </w:r>
      <w:r>
        <w:rPr>
          <w:b/>
          <w:bCs/>
          <w:lang w:val="en-AU"/>
        </w:rPr>
        <w:t>upon</w:t>
      </w:r>
      <w:r w:rsidR="001704D8" w:rsidRPr="001704D8">
        <w:rPr>
          <w:b/>
          <w:bCs/>
          <w:lang w:val="en-AU"/>
        </w:rPr>
        <w:t xml:space="preserve"> </w:t>
      </w:r>
      <w:r>
        <w:rPr>
          <w:b/>
          <w:bCs/>
          <w:lang w:val="en-AU"/>
        </w:rPr>
        <w:t>g</w:t>
      </w:r>
      <w:r w:rsidR="001704D8" w:rsidRPr="001704D8">
        <w:rPr>
          <w:b/>
          <w:bCs/>
          <w:lang w:val="en-AU"/>
        </w:rPr>
        <w:t xml:space="preserve">ambling </w:t>
      </w:r>
      <w:r>
        <w:rPr>
          <w:b/>
          <w:bCs/>
          <w:lang w:val="en-AU"/>
        </w:rPr>
        <w:t>h</w:t>
      </w:r>
      <w:r w:rsidR="001704D8" w:rsidRPr="001704D8">
        <w:rPr>
          <w:b/>
          <w:bCs/>
          <w:lang w:val="en-AU"/>
        </w:rPr>
        <w:t>arm</w:t>
      </w:r>
    </w:p>
    <w:p w14:paraId="7F718B31" w14:textId="23DCEC09" w:rsidR="002168E9" w:rsidRDefault="00B423DE" w:rsidP="0023767E">
      <w:pPr>
        <w:spacing w:after="0" w:line="312" w:lineRule="auto"/>
        <w:jc w:val="both"/>
        <w:rPr>
          <w:lang w:val="en-AU"/>
        </w:rPr>
      </w:pPr>
      <w:r>
        <w:rPr>
          <w:lang w:val="en-AU"/>
        </w:rPr>
        <w:t xml:space="preserve">The Commission </w:t>
      </w:r>
      <w:r w:rsidR="00676187">
        <w:rPr>
          <w:lang w:val="en-AU"/>
        </w:rPr>
        <w:t>adheres to the entirely logical principle</w:t>
      </w:r>
      <w:r>
        <w:rPr>
          <w:lang w:val="en-AU"/>
        </w:rPr>
        <w:t xml:space="preserve"> that</w:t>
      </w:r>
      <w:r w:rsidR="005B56A7">
        <w:rPr>
          <w:lang w:val="en-AU"/>
        </w:rPr>
        <w:t>,</w:t>
      </w:r>
      <w:r>
        <w:rPr>
          <w:lang w:val="en-AU"/>
        </w:rPr>
        <w:t xml:space="preserve"> where a proposal would result in gaming expenditure being transferred from other venues, such expenditure would not contribute to any increase in gambling harm, since the rise in expenditure at the</w:t>
      </w:r>
      <w:r w:rsidR="007B57BB">
        <w:rPr>
          <w:lang w:val="en-AU"/>
        </w:rPr>
        <w:t xml:space="preserve"> subject</w:t>
      </w:r>
      <w:r>
        <w:rPr>
          <w:lang w:val="en-AU"/>
        </w:rPr>
        <w:t xml:space="preserve"> venue would be matched by a decline in expenditure </w:t>
      </w:r>
      <w:r w:rsidR="007B57BB">
        <w:rPr>
          <w:lang w:val="en-AU"/>
        </w:rPr>
        <w:t>at other gaming venues</w:t>
      </w:r>
      <w:r w:rsidR="00676187">
        <w:rPr>
          <w:lang w:val="en-AU"/>
        </w:rPr>
        <w:t>, as some individuals choose to conduct their gambling at the new venue</w:t>
      </w:r>
      <w:r>
        <w:rPr>
          <w:lang w:val="en-AU"/>
        </w:rPr>
        <w:t xml:space="preserve">. </w:t>
      </w:r>
    </w:p>
    <w:p w14:paraId="2D3CEE4D" w14:textId="77777777" w:rsidR="001F7101" w:rsidRDefault="00333CC6" w:rsidP="0023767E">
      <w:pPr>
        <w:spacing w:after="0" w:line="312" w:lineRule="auto"/>
        <w:jc w:val="both"/>
        <w:rPr>
          <w:lang w:val="en-AU"/>
        </w:rPr>
      </w:pPr>
      <w:r>
        <w:rPr>
          <w:lang w:val="en-AU"/>
        </w:rPr>
        <w:t>Estimates</w:t>
      </w:r>
      <w:r w:rsidR="002168E9">
        <w:rPr>
          <w:lang w:val="en-AU"/>
        </w:rPr>
        <w:t xml:space="preserve"> of the level of transferred </w:t>
      </w:r>
      <w:r>
        <w:rPr>
          <w:lang w:val="en-AU"/>
        </w:rPr>
        <w:t>expenditure</w:t>
      </w:r>
      <w:r w:rsidR="00676187">
        <w:rPr>
          <w:lang w:val="en-AU"/>
        </w:rPr>
        <w:t xml:space="preserve"> though, are thoroughly speculative and</w:t>
      </w:r>
      <w:r w:rsidR="002168E9">
        <w:rPr>
          <w:lang w:val="en-AU"/>
        </w:rPr>
        <w:t xml:space="preserve"> are usually provided by witnesses for the applicant</w:t>
      </w:r>
      <w:r w:rsidR="00676187">
        <w:rPr>
          <w:lang w:val="en-AU"/>
        </w:rPr>
        <w:t>. The</w:t>
      </w:r>
      <w:r w:rsidR="002168E9">
        <w:rPr>
          <w:lang w:val="en-AU"/>
        </w:rPr>
        <w:t xml:space="preserve"> Commission is </w:t>
      </w:r>
      <w:r w:rsidR="00676187">
        <w:rPr>
          <w:lang w:val="en-AU"/>
        </w:rPr>
        <w:t>disposed</w:t>
      </w:r>
      <w:r w:rsidR="002168E9">
        <w:rPr>
          <w:lang w:val="en-AU"/>
        </w:rPr>
        <w:t xml:space="preserve"> to accept estimates in the range of 70 to 90% in </w:t>
      </w:r>
      <w:r>
        <w:rPr>
          <w:lang w:val="en-AU"/>
        </w:rPr>
        <w:t>metropolitan</w:t>
      </w:r>
      <w:r w:rsidR="002168E9">
        <w:rPr>
          <w:lang w:val="en-AU"/>
        </w:rPr>
        <w:t xml:space="preserve"> areas, and lower </w:t>
      </w:r>
      <w:r>
        <w:rPr>
          <w:lang w:val="en-AU"/>
        </w:rPr>
        <w:t>estimates</w:t>
      </w:r>
      <w:r w:rsidR="002168E9">
        <w:rPr>
          <w:lang w:val="en-AU"/>
        </w:rPr>
        <w:t xml:space="preserve"> in regional and rural localities.</w:t>
      </w:r>
      <w:r>
        <w:rPr>
          <w:lang w:val="en-AU"/>
        </w:rPr>
        <w:t xml:space="preserve"> </w:t>
      </w:r>
    </w:p>
    <w:p w14:paraId="1F90776E" w14:textId="48F9B71E" w:rsidR="007B57BB" w:rsidRDefault="005B56A7" w:rsidP="0023767E">
      <w:pPr>
        <w:spacing w:after="0" w:line="312" w:lineRule="auto"/>
        <w:jc w:val="both"/>
        <w:rPr>
          <w:lang w:val="en-AU"/>
        </w:rPr>
      </w:pPr>
      <w:r>
        <w:rPr>
          <w:lang w:val="en-AU"/>
        </w:rPr>
        <w:lastRenderedPageBreak/>
        <w:t>T</w:t>
      </w:r>
      <w:r w:rsidR="002168E9">
        <w:rPr>
          <w:lang w:val="en-AU"/>
        </w:rPr>
        <w:t xml:space="preserve">he Commission is inclined to accept such estimates unless a </w:t>
      </w:r>
      <w:r w:rsidR="00333CC6">
        <w:rPr>
          <w:lang w:val="en-AU"/>
        </w:rPr>
        <w:t xml:space="preserve">council opposing the application </w:t>
      </w:r>
      <w:r w:rsidR="001F7101">
        <w:rPr>
          <w:lang w:val="en-AU"/>
        </w:rPr>
        <w:t>ventures</w:t>
      </w:r>
      <w:r w:rsidR="00333CC6">
        <w:rPr>
          <w:lang w:val="en-AU"/>
        </w:rPr>
        <w:t xml:space="preserve"> an alternative estimate – which does not occur</w:t>
      </w:r>
      <w:r w:rsidR="00676187">
        <w:rPr>
          <w:lang w:val="en-AU"/>
        </w:rPr>
        <w:t xml:space="preserve">, since it would be technically </w:t>
      </w:r>
      <w:r w:rsidR="007B57BB">
        <w:rPr>
          <w:lang w:val="en-AU"/>
        </w:rPr>
        <w:t>arduous</w:t>
      </w:r>
      <w:r w:rsidR="00676187">
        <w:rPr>
          <w:lang w:val="en-AU"/>
        </w:rPr>
        <w:t xml:space="preserve"> to accomplish</w:t>
      </w:r>
      <w:r w:rsidR="007B57BB">
        <w:rPr>
          <w:lang w:val="en-AU"/>
        </w:rPr>
        <w:t>,</w:t>
      </w:r>
      <w:r w:rsidR="00676187">
        <w:rPr>
          <w:lang w:val="en-AU"/>
        </w:rPr>
        <w:t xml:space="preserve"> would probably be just as speculative</w:t>
      </w:r>
      <w:r w:rsidR="007B57BB">
        <w:rPr>
          <w:lang w:val="en-AU"/>
        </w:rPr>
        <w:t>,</w:t>
      </w:r>
      <w:r w:rsidR="00676187">
        <w:rPr>
          <w:lang w:val="en-AU"/>
        </w:rPr>
        <w:t xml:space="preserve"> and </w:t>
      </w:r>
      <w:r w:rsidR="007B57BB">
        <w:rPr>
          <w:lang w:val="en-AU"/>
        </w:rPr>
        <w:t xml:space="preserve">would be </w:t>
      </w:r>
      <w:r w:rsidR="001F7101">
        <w:rPr>
          <w:lang w:val="en-AU"/>
        </w:rPr>
        <w:t xml:space="preserve">strenuously </w:t>
      </w:r>
      <w:r w:rsidR="007B57BB">
        <w:rPr>
          <w:lang w:val="en-AU"/>
        </w:rPr>
        <w:t xml:space="preserve">challenged </w:t>
      </w:r>
      <w:r w:rsidR="001F7101">
        <w:rPr>
          <w:lang w:val="en-AU"/>
        </w:rPr>
        <w:t>at a hearing</w:t>
      </w:r>
      <w:r>
        <w:rPr>
          <w:lang w:val="en-AU"/>
        </w:rPr>
        <w:t xml:space="preserve">. </w:t>
      </w:r>
    </w:p>
    <w:p w14:paraId="4C33CC83" w14:textId="2EF2D4B7" w:rsidR="002168E9" w:rsidRDefault="005B56A7" w:rsidP="0023767E">
      <w:pPr>
        <w:spacing w:after="0" w:line="312" w:lineRule="auto"/>
        <w:jc w:val="both"/>
        <w:rPr>
          <w:lang w:val="en-AU"/>
        </w:rPr>
      </w:pPr>
      <w:r>
        <w:rPr>
          <w:lang w:val="en-AU"/>
        </w:rPr>
        <w:t xml:space="preserve">However, the Commission </w:t>
      </w:r>
      <w:r w:rsidR="00333CC6">
        <w:rPr>
          <w:lang w:val="en-AU"/>
        </w:rPr>
        <w:t xml:space="preserve">has on occasion </w:t>
      </w:r>
      <w:r w:rsidR="007B57BB">
        <w:rPr>
          <w:lang w:val="en-AU"/>
        </w:rPr>
        <w:t>contested</w:t>
      </w:r>
      <w:r w:rsidR="00333CC6">
        <w:rPr>
          <w:lang w:val="en-AU"/>
        </w:rPr>
        <w:t xml:space="preserve"> the accuracy and validity of models used to estimate the levels of transferred expenditure, noting the range of uncertain and subjective considerations involved in such estimates and their lack of proven analytical rigour. Generally</w:t>
      </w:r>
      <w:r w:rsidR="00311B3A">
        <w:rPr>
          <w:lang w:val="en-AU"/>
        </w:rPr>
        <w:t>,</w:t>
      </w:r>
      <w:r w:rsidR="00333CC6">
        <w:rPr>
          <w:lang w:val="en-AU"/>
        </w:rPr>
        <w:t xml:space="preserve"> such </w:t>
      </w:r>
      <w:r w:rsidR="00676187">
        <w:rPr>
          <w:lang w:val="en-AU"/>
        </w:rPr>
        <w:t>appraisals, damaging to the case for the applicant,</w:t>
      </w:r>
      <w:r w:rsidR="00333CC6">
        <w:rPr>
          <w:lang w:val="en-AU"/>
        </w:rPr>
        <w:t xml:space="preserve"> are prompted by the presentation of evidence </w:t>
      </w:r>
      <w:r w:rsidR="00311B3A">
        <w:rPr>
          <w:lang w:val="en-AU"/>
        </w:rPr>
        <w:t xml:space="preserve">by a council opposing the application </w:t>
      </w:r>
      <w:r w:rsidR="00333CC6">
        <w:rPr>
          <w:lang w:val="en-AU"/>
        </w:rPr>
        <w:t xml:space="preserve">which casts </w:t>
      </w:r>
      <w:r w:rsidR="00311B3A">
        <w:rPr>
          <w:lang w:val="en-AU"/>
        </w:rPr>
        <w:t>doubt</w:t>
      </w:r>
      <w:r w:rsidR="00333CC6">
        <w:rPr>
          <w:lang w:val="en-AU"/>
        </w:rPr>
        <w:t xml:space="preserve"> upon the accuracy of these methods.</w:t>
      </w:r>
      <w:r w:rsidR="00676187">
        <w:rPr>
          <w:lang w:val="en-AU"/>
        </w:rPr>
        <w:t xml:space="preserve"> </w:t>
      </w:r>
    </w:p>
    <w:p w14:paraId="3F9947CF" w14:textId="4AAA034A" w:rsidR="001704D8" w:rsidRDefault="00F440B4" w:rsidP="0023767E">
      <w:pPr>
        <w:spacing w:after="0" w:line="312" w:lineRule="auto"/>
        <w:jc w:val="both"/>
        <w:rPr>
          <w:lang w:val="en-AU"/>
        </w:rPr>
      </w:pPr>
      <w:r>
        <w:rPr>
          <w:lang w:val="en-AU"/>
        </w:rPr>
        <w:t>W</w:t>
      </w:r>
      <w:r w:rsidR="00B423DE">
        <w:rPr>
          <w:lang w:val="en-AU"/>
        </w:rPr>
        <w:t xml:space="preserve">here the estimated level of transferred expenditure </w:t>
      </w:r>
      <w:r>
        <w:rPr>
          <w:lang w:val="en-AU"/>
        </w:rPr>
        <w:t xml:space="preserve">is high, </w:t>
      </w:r>
      <w:r w:rsidR="00B423DE">
        <w:rPr>
          <w:lang w:val="en-AU"/>
        </w:rPr>
        <w:t xml:space="preserve">then </w:t>
      </w:r>
      <w:r>
        <w:rPr>
          <w:lang w:val="en-AU"/>
        </w:rPr>
        <w:t xml:space="preserve">it follows that </w:t>
      </w:r>
      <w:r w:rsidR="00B423DE">
        <w:rPr>
          <w:lang w:val="en-AU"/>
        </w:rPr>
        <w:t xml:space="preserve">the net increase in gaming expenditure resulting from the proposal would be small, and the harm associated with that rise in new </w:t>
      </w:r>
      <w:r w:rsidR="00560414">
        <w:rPr>
          <w:lang w:val="en-AU"/>
        </w:rPr>
        <w:t>expenditure</w:t>
      </w:r>
      <w:r w:rsidR="00B423DE">
        <w:rPr>
          <w:lang w:val="en-AU"/>
        </w:rPr>
        <w:t xml:space="preserve"> </w:t>
      </w:r>
      <w:r>
        <w:rPr>
          <w:lang w:val="en-AU"/>
        </w:rPr>
        <w:t>may</w:t>
      </w:r>
      <w:r w:rsidR="00B423DE">
        <w:rPr>
          <w:lang w:val="en-AU"/>
        </w:rPr>
        <w:t xml:space="preserve"> be </w:t>
      </w:r>
      <w:r w:rsidR="0032014E">
        <w:rPr>
          <w:lang w:val="en-AU"/>
        </w:rPr>
        <w:t xml:space="preserve">limited </w:t>
      </w:r>
      <w:r w:rsidR="00B423DE">
        <w:rPr>
          <w:lang w:val="en-AU"/>
        </w:rPr>
        <w:t>as well.</w:t>
      </w:r>
      <w:r w:rsidR="0032014E">
        <w:rPr>
          <w:lang w:val="en-AU"/>
        </w:rPr>
        <w:t xml:space="preserve"> </w:t>
      </w:r>
      <w:r w:rsidR="00311B3A">
        <w:rPr>
          <w:lang w:val="en-AU"/>
        </w:rPr>
        <w:t>Accordingly, t</w:t>
      </w:r>
      <w:r w:rsidR="0032014E">
        <w:rPr>
          <w:lang w:val="en-AU"/>
        </w:rPr>
        <w:t xml:space="preserve">he Commission has </w:t>
      </w:r>
      <w:r w:rsidR="005B56A7">
        <w:rPr>
          <w:lang w:val="en-AU"/>
        </w:rPr>
        <w:t>on several occasions</w:t>
      </w:r>
      <w:r w:rsidR="0032014E">
        <w:rPr>
          <w:lang w:val="en-AU"/>
        </w:rPr>
        <w:t xml:space="preserve"> commented that the high level of transferred expenditure reduces the net increase in expenditure</w:t>
      </w:r>
      <w:r w:rsidR="001F7101">
        <w:rPr>
          <w:lang w:val="en-AU"/>
        </w:rPr>
        <w:t xml:space="preserve">, thereby diminishing </w:t>
      </w:r>
      <w:r w:rsidR="0032014E">
        <w:rPr>
          <w:lang w:val="en-AU"/>
        </w:rPr>
        <w:t xml:space="preserve">the </w:t>
      </w:r>
      <w:r w:rsidR="001F7101">
        <w:rPr>
          <w:lang w:val="en-AU"/>
        </w:rPr>
        <w:t>prospect</w:t>
      </w:r>
      <w:r w:rsidR="0032014E">
        <w:rPr>
          <w:lang w:val="en-AU"/>
        </w:rPr>
        <w:t xml:space="preserve"> of an appreciable rise in gambling problems resulting from the </w:t>
      </w:r>
      <w:r w:rsidR="002F1BE1">
        <w:rPr>
          <w:lang w:val="en-AU"/>
        </w:rPr>
        <w:t>proposal</w:t>
      </w:r>
      <w:r w:rsidR="0032014E">
        <w:rPr>
          <w:lang w:val="en-AU"/>
        </w:rPr>
        <w:t>.</w:t>
      </w:r>
      <w:r w:rsidR="002F1BE1">
        <w:rPr>
          <w:lang w:val="en-AU"/>
        </w:rPr>
        <w:t xml:space="preserve"> </w:t>
      </w:r>
      <w:r w:rsidR="005B56A7">
        <w:rPr>
          <w:lang w:val="en-AU"/>
        </w:rPr>
        <w:t>Conversely, it has conceded</w:t>
      </w:r>
      <w:r w:rsidR="002F1BE1">
        <w:rPr>
          <w:lang w:val="en-AU"/>
        </w:rPr>
        <w:t xml:space="preserve"> that where the level of new expenditure is appreciable, </w:t>
      </w:r>
      <w:r w:rsidR="005B56A7">
        <w:rPr>
          <w:lang w:val="en-AU"/>
        </w:rPr>
        <w:t>it</w:t>
      </w:r>
      <w:r w:rsidR="002F1BE1">
        <w:rPr>
          <w:lang w:val="en-AU"/>
        </w:rPr>
        <w:t xml:space="preserve"> may be accompanied by an increased risk of gambling-related harm to a vulnerable community.</w:t>
      </w:r>
    </w:p>
    <w:p w14:paraId="23C0238D" w14:textId="1D2096F1" w:rsidR="002168E9" w:rsidRPr="00DD7B65" w:rsidRDefault="002168E9" w:rsidP="0023767E">
      <w:pPr>
        <w:spacing w:after="0" w:line="312" w:lineRule="auto"/>
        <w:jc w:val="both"/>
        <w:rPr>
          <w:sz w:val="10"/>
          <w:szCs w:val="10"/>
          <w:lang w:val="en-AU"/>
        </w:rPr>
      </w:pPr>
    </w:p>
    <w:p w14:paraId="2FA46A40" w14:textId="6CA0381B" w:rsidR="0032014E" w:rsidRDefault="008E231F" w:rsidP="0023767E">
      <w:pPr>
        <w:spacing w:before="60" w:after="0" w:line="312" w:lineRule="auto"/>
        <w:jc w:val="both"/>
        <w:rPr>
          <w:lang w:val="en-AU"/>
        </w:rPr>
      </w:pPr>
      <w:r>
        <w:rPr>
          <w:lang w:val="en-AU"/>
        </w:rPr>
        <w:t>T</w:t>
      </w:r>
      <w:r w:rsidR="00311B3A">
        <w:rPr>
          <w:lang w:val="en-AU"/>
        </w:rPr>
        <w:t xml:space="preserve">he Commission has identified </w:t>
      </w:r>
      <w:proofErr w:type="gramStart"/>
      <w:r w:rsidR="00311B3A">
        <w:rPr>
          <w:lang w:val="en-AU"/>
        </w:rPr>
        <w:t>a number of</w:t>
      </w:r>
      <w:proofErr w:type="gramEnd"/>
      <w:r w:rsidR="00311B3A">
        <w:rPr>
          <w:lang w:val="en-AU"/>
        </w:rPr>
        <w:t xml:space="preserve"> </w:t>
      </w:r>
      <w:r w:rsidR="008855AE">
        <w:rPr>
          <w:lang w:val="en-AU"/>
        </w:rPr>
        <w:t xml:space="preserve">circumstances </w:t>
      </w:r>
      <w:r w:rsidR="00DD7B65">
        <w:rPr>
          <w:lang w:val="en-AU"/>
        </w:rPr>
        <w:t xml:space="preserve">relating to the local gaming environment, </w:t>
      </w:r>
      <w:r w:rsidR="008855AE">
        <w:rPr>
          <w:lang w:val="en-AU"/>
        </w:rPr>
        <w:t>which</w:t>
      </w:r>
      <w:r w:rsidR="00311B3A">
        <w:rPr>
          <w:lang w:val="en-AU"/>
        </w:rPr>
        <w:t>,</w:t>
      </w:r>
      <w:r w:rsidR="008855AE">
        <w:rPr>
          <w:lang w:val="en-AU"/>
        </w:rPr>
        <w:t xml:space="preserve"> </w:t>
      </w:r>
      <w:r w:rsidR="00311B3A">
        <w:rPr>
          <w:lang w:val="en-AU"/>
        </w:rPr>
        <w:t>it</w:t>
      </w:r>
      <w:r w:rsidR="008855AE">
        <w:rPr>
          <w:lang w:val="en-AU"/>
        </w:rPr>
        <w:t xml:space="preserve"> maintains, would </w:t>
      </w:r>
      <w:r w:rsidR="008229D9">
        <w:rPr>
          <w:lang w:val="en-AU"/>
        </w:rPr>
        <w:t>lessen any adverse impact of the addition of gaming machines or establishment of a new venue</w:t>
      </w:r>
      <w:r w:rsidR="005B56A7">
        <w:rPr>
          <w:lang w:val="en-AU"/>
        </w:rPr>
        <w:t>.</w:t>
      </w:r>
      <w:r w:rsidR="00311B3A">
        <w:rPr>
          <w:lang w:val="en-AU"/>
        </w:rPr>
        <w:t xml:space="preserve"> These are briefly described here.</w:t>
      </w:r>
    </w:p>
    <w:p w14:paraId="4F425DD6" w14:textId="5922D163" w:rsidR="008855AE" w:rsidRDefault="00311B3A" w:rsidP="008229D9">
      <w:pPr>
        <w:pStyle w:val="ListParagraph"/>
        <w:numPr>
          <w:ilvl w:val="0"/>
          <w:numId w:val="2"/>
        </w:numPr>
        <w:spacing w:after="0" w:line="312" w:lineRule="auto"/>
        <w:ind w:left="426"/>
        <w:jc w:val="both"/>
        <w:rPr>
          <w:lang w:val="en-AU"/>
        </w:rPr>
      </w:pPr>
      <w:r>
        <w:rPr>
          <w:lang w:val="en-AU"/>
        </w:rPr>
        <w:t>If</w:t>
      </w:r>
      <w:r w:rsidR="008855AE">
        <w:rPr>
          <w:lang w:val="en-AU"/>
        </w:rPr>
        <w:t xml:space="preserve"> the venue already has gaming machines, the addition of more would make little difference to the level of gambling harm</w:t>
      </w:r>
      <w:r w:rsidR="001F7101">
        <w:rPr>
          <w:lang w:val="en-AU"/>
        </w:rPr>
        <w:t xml:space="preserve"> incurred by patrons</w:t>
      </w:r>
      <w:r w:rsidR="009A026A">
        <w:rPr>
          <w:lang w:val="en-AU"/>
        </w:rPr>
        <w:t>.</w:t>
      </w:r>
    </w:p>
    <w:p w14:paraId="0E85B84F" w14:textId="1785E214" w:rsidR="008855AE" w:rsidRDefault="008855AE" w:rsidP="008229D9">
      <w:pPr>
        <w:pStyle w:val="ListParagraph"/>
        <w:numPr>
          <w:ilvl w:val="0"/>
          <w:numId w:val="2"/>
        </w:numPr>
        <w:spacing w:after="0" w:line="312" w:lineRule="auto"/>
        <w:ind w:left="426"/>
        <w:jc w:val="both"/>
        <w:rPr>
          <w:lang w:val="en-AU"/>
        </w:rPr>
      </w:pPr>
      <w:r>
        <w:rPr>
          <w:lang w:val="en-AU"/>
        </w:rPr>
        <w:t xml:space="preserve">A forecast rise in population in the vicinity of the venue would reduce the density of gaming machines while ensuring that the rise in </w:t>
      </w:r>
      <w:r w:rsidR="001F7101">
        <w:rPr>
          <w:lang w:val="en-AU"/>
        </w:rPr>
        <w:t>their</w:t>
      </w:r>
      <w:r>
        <w:rPr>
          <w:lang w:val="en-AU"/>
        </w:rPr>
        <w:t xml:space="preserve"> numbers at the venue caters for a rising population</w:t>
      </w:r>
      <w:r w:rsidR="00311B3A">
        <w:rPr>
          <w:lang w:val="en-AU"/>
        </w:rPr>
        <w:t xml:space="preserve">. On some occasions though, </w:t>
      </w:r>
      <w:r w:rsidR="00C75890">
        <w:rPr>
          <w:lang w:val="en-AU"/>
        </w:rPr>
        <w:t>it has acknowledged that the increase in population may raise the level of expenditure at the venue</w:t>
      </w:r>
      <w:r w:rsidR="009A026A">
        <w:rPr>
          <w:lang w:val="en-AU"/>
        </w:rPr>
        <w:t>.</w:t>
      </w:r>
    </w:p>
    <w:p w14:paraId="7B8FC464" w14:textId="58EB882E" w:rsidR="00C75890" w:rsidRDefault="00C75890" w:rsidP="008229D9">
      <w:pPr>
        <w:pStyle w:val="ListParagraph"/>
        <w:numPr>
          <w:ilvl w:val="0"/>
          <w:numId w:val="2"/>
        </w:numPr>
        <w:spacing w:after="0" w:line="312" w:lineRule="auto"/>
        <w:ind w:left="426"/>
        <w:jc w:val="both"/>
        <w:rPr>
          <w:lang w:val="en-AU"/>
        </w:rPr>
      </w:pPr>
      <w:r>
        <w:rPr>
          <w:lang w:val="en-AU"/>
        </w:rPr>
        <w:t xml:space="preserve">A recent trend of declining </w:t>
      </w:r>
      <w:r w:rsidR="001F7101">
        <w:rPr>
          <w:lang w:val="en-AU"/>
        </w:rPr>
        <w:t>gaming</w:t>
      </w:r>
      <w:r>
        <w:rPr>
          <w:lang w:val="en-AU"/>
        </w:rPr>
        <w:t xml:space="preserve"> expenditure, if maintained, would reduce the losses and accompanying gambling harm associated with the proposal</w:t>
      </w:r>
    </w:p>
    <w:p w14:paraId="7D22A96B" w14:textId="0FB8CD58" w:rsidR="00C75890" w:rsidRDefault="00C75890" w:rsidP="008229D9">
      <w:pPr>
        <w:pStyle w:val="ListParagraph"/>
        <w:numPr>
          <w:ilvl w:val="0"/>
          <w:numId w:val="2"/>
        </w:numPr>
        <w:spacing w:after="0" w:line="312" w:lineRule="auto"/>
        <w:ind w:left="426"/>
        <w:jc w:val="both"/>
        <w:rPr>
          <w:lang w:val="en-AU"/>
        </w:rPr>
      </w:pPr>
      <w:r>
        <w:rPr>
          <w:lang w:val="en-AU"/>
        </w:rPr>
        <w:t>There is little evidence of gambling problems associated with this venue, or it has not been presented with evidence which suggests that the venue may be conducive to gambling problems. Evidence concerning socioeconomic disadvantage in the venue catchment</w:t>
      </w:r>
      <w:r w:rsidR="00031130">
        <w:rPr>
          <w:lang w:val="en-AU"/>
        </w:rPr>
        <w:t xml:space="preserve"> or among its patrons</w:t>
      </w:r>
      <w:r>
        <w:rPr>
          <w:lang w:val="en-AU"/>
        </w:rPr>
        <w:t xml:space="preserve">, a focus upon gambling at the venue, visibility of promotion of the gaming room, large or </w:t>
      </w:r>
      <w:r w:rsidR="001F7101">
        <w:rPr>
          <w:lang w:val="en-AU"/>
        </w:rPr>
        <w:t>poorly supervised</w:t>
      </w:r>
      <w:r>
        <w:rPr>
          <w:lang w:val="en-AU"/>
        </w:rPr>
        <w:t xml:space="preserve"> gaming room and other adverse features of a venue</w:t>
      </w:r>
      <w:r w:rsidR="00031130">
        <w:rPr>
          <w:lang w:val="en-AU"/>
        </w:rPr>
        <w:t>,</w:t>
      </w:r>
      <w:r>
        <w:rPr>
          <w:lang w:val="en-AU"/>
        </w:rPr>
        <w:t xml:space="preserve"> may </w:t>
      </w:r>
      <w:r w:rsidR="00AE56AA">
        <w:rPr>
          <w:lang w:val="en-AU"/>
        </w:rPr>
        <w:t>be accepted as</w:t>
      </w:r>
      <w:r>
        <w:rPr>
          <w:lang w:val="en-AU"/>
        </w:rPr>
        <w:t xml:space="preserve"> evidence that </w:t>
      </w:r>
      <w:r w:rsidR="001F7101">
        <w:rPr>
          <w:lang w:val="en-AU"/>
        </w:rPr>
        <w:t>it</w:t>
      </w:r>
      <w:r>
        <w:rPr>
          <w:lang w:val="en-AU"/>
        </w:rPr>
        <w:t xml:space="preserve"> </w:t>
      </w:r>
      <w:r w:rsidR="00031130">
        <w:rPr>
          <w:lang w:val="en-AU"/>
        </w:rPr>
        <w:t>is</w:t>
      </w:r>
      <w:r>
        <w:rPr>
          <w:lang w:val="en-AU"/>
        </w:rPr>
        <w:t xml:space="preserve"> conducive to gambling problems. These issues are addressed further below.</w:t>
      </w:r>
    </w:p>
    <w:p w14:paraId="4DDAF58A" w14:textId="514CC12E" w:rsidR="00F02603" w:rsidRDefault="00F02603" w:rsidP="008229D9">
      <w:pPr>
        <w:pStyle w:val="ListParagraph"/>
        <w:numPr>
          <w:ilvl w:val="0"/>
          <w:numId w:val="2"/>
        </w:numPr>
        <w:spacing w:after="0" w:line="312" w:lineRule="auto"/>
        <w:ind w:left="426"/>
        <w:jc w:val="both"/>
        <w:rPr>
          <w:lang w:val="en-AU"/>
        </w:rPr>
      </w:pPr>
      <w:r>
        <w:rPr>
          <w:lang w:val="en-AU"/>
        </w:rPr>
        <w:t xml:space="preserve">Since there are other venues nearby, the </w:t>
      </w:r>
      <w:r w:rsidR="00887177">
        <w:rPr>
          <w:lang w:val="en-AU"/>
        </w:rPr>
        <w:t>establishment</w:t>
      </w:r>
      <w:r>
        <w:rPr>
          <w:lang w:val="en-AU"/>
        </w:rPr>
        <w:t xml:space="preserve"> or expansion of the venue would make little difference to the local accessibility of gambling</w:t>
      </w:r>
      <w:r w:rsidR="009A026A">
        <w:rPr>
          <w:lang w:val="en-AU"/>
        </w:rPr>
        <w:t>.</w:t>
      </w:r>
    </w:p>
    <w:p w14:paraId="089BEEBC" w14:textId="557A0E1E" w:rsidR="008E231F" w:rsidRPr="008E231F" w:rsidRDefault="008E231F" w:rsidP="008229D9">
      <w:pPr>
        <w:pStyle w:val="ListParagraph"/>
        <w:numPr>
          <w:ilvl w:val="0"/>
          <w:numId w:val="2"/>
        </w:numPr>
        <w:spacing w:after="0" w:line="312" w:lineRule="auto"/>
        <w:ind w:left="426"/>
        <w:jc w:val="both"/>
        <w:rPr>
          <w:lang w:val="en-AU"/>
        </w:rPr>
      </w:pPr>
      <w:r w:rsidRPr="008E231F">
        <w:rPr>
          <w:lang w:val="en-AU"/>
        </w:rPr>
        <w:t xml:space="preserve">The Commission may maintain that the addition of a venue in a locality with no nearby gaming venues, extends an opportunity for </w:t>
      </w:r>
      <w:proofErr w:type="gramStart"/>
      <w:r w:rsidRPr="008E231F">
        <w:rPr>
          <w:lang w:val="en-AU"/>
        </w:rPr>
        <w:t>local residents</w:t>
      </w:r>
      <w:proofErr w:type="gramEnd"/>
      <w:r w:rsidRPr="008E231F">
        <w:rPr>
          <w:lang w:val="en-AU"/>
        </w:rPr>
        <w:t xml:space="preserve"> to participate in gaming. Conversely, it may observe that the creation of a gaming venue in an area without such facilities, may be a liability for patrons who do not wish to be exposed to gambling, or detract from the character of a town where no gaming venues previously existed – as for instance in the case of an application for a new venue in the town of Romsey. </w:t>
      </w:r>
    </w:p>
    <w:p w14:paraId="5240CB68" w14:textId="2097C62D" w:rsidR="00AE56AA" w:rsidRDefault="00F02603" w:rsidP="008229D9">
      <w:pPr>
        <w:pStyle w:val="ListParagraph"/>
        <w:numPr>
          <w:ilvl w:val="0"/>
          <w:numId w:val="2"/>
        </w:numPr>
        <w:spacing w:after="0" w:line="312" w:lineRule="auto"/>
        <w:ind w:left="426"/>
        <w:jc w:val="both"/>
        <w:rPr>
          <w:lang w:val="en-AU"/>
        </w:rPr>
      </w:pPr>
      <w:r>
        <w:rPr>
          <w:lang w:val="en-AU"/>
        </w:rPr>
        <w:t xml:space="preserve">The </w:t>
      </w:r>
      <w:r w:rsidR="00D41B84">
        <w:rPr>
          <w:lang w:val="en-AU"/>
        </w:rPr>
        <w:t>application</w:t>
      </w:r>
      <w:r>
        <w:rPr>
          <w:lang w:val="en-AU"/>
        </w:rPr>
        <w:t xml:space="preserve"> would entail a small rise in gaming machine </w:t>
      </w:r>
      <w:r w:rsidR="00D41B84">
        <w:rPr>
          <w:lang w:val="en-AU"/>
        </w:rPr>
        <w:t>numbers</w:t>
      </w:r>
      <w:r>
        <w:rPr>
          <w:lang w:val="en-AU"/>
        </w:rPr>
        <w:t xml:space="preserve"> or gaming expenditure</w:t>
      </w:r>
      <w:r w:rsidR="005B56A7">
        <w:rPr>
          <w:lang w:val="en-AU"/>
        </w:rPr>
        <w:t>,</w:t>
      </w:r>
      <w:r>
        <w:rPr>
          <w:lang w:val="en-AU"/>
        </w:rPr>
        <w:t xml:space="preserve"> </w:t>
      </w:r>
      <w:r w:rsidR="00D41B84">
        <w:rPr>
          <w:lang w:val="en-AU"/>
        </w:rPr>
        <w:t>relative</w:t>
      </w:r>
      <w:r>
        <w:rPr>
          <w:lang w:val="en-AU"/>
        </w:rPr>
        <w:t xml:space="preserve"> to municipal levels, or in the number of gaming machines within the venue. In one decision the Commission </w:t>
      </w:r>
      <w:r>
        <w:rPr>
          <w:lang w:val="en-AU"/>
        </w:rPr>
        <w:lastRenderedPageBreak/>
        <w:t>declared</w:t>
      </w:r>
      <w:r w:rsidRPr="00F02603">
        <w:rPr>
          <w:lang w:val="en-AU"/>
        </w:rPr>
        <w:t xml:space="preserve"> that since the venue </w:t>
      </w:r>
      <w:r>
        <w:rPr>
          <w:lang w:val="en-AU"/>
        </w:rPr>
        <w:t>was</w:t>
      </w:r>
      <w:r w:rsidRPr="00F02603">
        <w:rPr>
          <w:lang w:val="en-AU"/>
        </w:rPr>
        <w:t xml:space="preserve"> not new, problem gamblers </w:t>
      </w:r>
      <w:r>
        <w:rPr>
          <w:lang w:val="en-AU"/>
        </w:rPr>
        <w:t>had</w:t>
      </w:r>
      <w:r w:rsidRPr="00F02603">
        <w:rPr>
          <w:lang w:val="en-AU"/>
        </w:rPr>
        <w:t xml:space="preserve"> ready access to its </w:t>
      </w:r>
      <w:r w:rsidR="00B8757A">
        <w:rPr>
          <w:lang w:val="en-AU"/>
        </w:rPr>
        <w:t>gaming machines</w:t>
      </w:r>
      <w:r w:rsidRPr="00F02603">
        <w:rPr>
          <w:lang w:val="en-AU"/>
        </w:rPr>
        <w:t xml:space="preserve"> already, with the consequence that addition of further EGMs </w:t>
      </w:r>
      <w:r>
        <w:rPr>
          <w:lang w:val="en-AU"/>
        </w:rPr>
        <w:t>would be un</w:t>
      </w:r>
      <w:r w:rsidRPr="00F02603">
        <w:rPr>
          <w:lang w:val="en-AU"/>
        </w:rPr>
        <w:t xml:space="preserve">likely to </w:t>
      </w:r>
      <w:r w:rsidR="009A026A">
        <w:rPr>
          <w:lang w:val="en-AU"/>
        </w:rPr>
        <w:t>exacerbate</w:t>
      </w:r>
      <w:r w:rsidRPr="00F02603">
        <w:rPr>
          <w:lang w:val="en-AU"/>
        </w:rPr>
        <w:t xml:space="preserve"> problem gambling among its patrons.</w:t>
      </w:r>
      <w:r>
        <w:rPr>
          <w:lang w:val="en-AU"/>
        </w:rPr>
        <w:t xml:space="preserve"> </w:t>
      </w:r>
    </w:p>
    <w:p w14:paraId="7B8DB19C" w14:textId="20F68ADB" w:rsidR="00F02603" w:rsidRDefault="00F02603" w:rsidP="008229D9">
      <w:pPr>
        <w:pStyle w:val="ListParagraph"/>
        <w:spacing w:after="0" w:line="312" w:lineRule="auto"/>
        <w:ind w:left="426"/>
        <w:jc w:val="both"/>
        <w:rPr>
          <w:lang w:val="en-AU"/>
        </w:rPr>
      </w:pPr>
      <w:r>
        <w:rPr>
          <w:lang w:val="en-AU"/>
        </w:rPr>
        <w:t xml:space="preserve">On the other hand, in some cases involving </w:t>
      </w:r>
      <w:r w:rsidR="00D41B84">
        <w:rPr>
          <w:lang w:val="en-AU"/>
        </w:rPr>
        <w:t xml:space="preserve">disadvantaged communities </w:t>
      </w:r>
      <w:r>
        <w:rPr>
          <w:lang w:val="en-AU"/>
        </w:rPr>
        <w:t xml:space="preserve">with high numbers of </w:t>
      </w:r>
      <w:r w:rsidR="00AE56AA">
        <w:rPr>
          <w:lang w:val="en-AU"/>
        </w:rPr>
        <w:t>gaming machines and</w:t>
      </w:r>
      <w:r>
        <w:rPr>
          <w:lang w:val="en-AU"/>
        </w:rPr>
        <w:t xml:space="preserve"> losses, the Commission </w:t>
      </w:r>
      <w:r w:rsidR="00D41B84">
        <w:rPr>
          <w:lang w:val="en-AU"/>
        </w:rPr>
        <w:t xml:space="preserve">allows that a rise in EGM numbers – however small it may be relative to existing municipal totals - would </w:t>
      </w:r>
      <w:r w:rsidR="00B8757A">
        <w:rPr>
          <w:lang w:val="en-AU"/>
        </w:rPr>
        <w:t>accentuate</w:t>
      </w:r>
      <w:r w:rsidR="00D41B84">
        <w:rPr>
          <w:lang w:val="en-AU"/>
        </w:rPr>
        <w:t xml:space="preserve"> already high losses in a vulnerable community.</w:t>
      </w:r>
      <w:r w:rsidR="001F7101">
        <w:rPr>
          <w:lang w:val="en-AU"/>
        </w:rPr>
        <w:t xml:space="preserve"> The validity of such conclusions though, is questionable.</w:t>
      </w:r>
    </w:p>
    <w:p w14:paraId="513930E7" w14:textId="7B07D455" w:rsidR="00F02603" w:rsidRDefault="00E11CED" w:rsidP="008229D9">
      <w:pPr>
        <w:pStyle w:val="ListParagraph"/>
        <w:numPr>
          <w:ilvl w:val="0"/>
          <w:numId w:val="2"/>
        </w:numPr>
        <w:spacing w:after="0" w:line="312" w:lineRule="auto"/>
        <w:ind w:left="426"/>
        <w:jc w:val="both"/>
        <w:rPr>
          <w:lang w:val="en-AU"/>
        </w:rPr>
      </w:pPr>
      <w:r>
        <w:rPr>
          <w:lang w:val="en-AU"/>
        </w:rPr>
        <w:t xml:space="preserve">The venue experiences few periods each week where there is a high demand for its gaming machines – usually defined as times when 70% or more of its EGMs are in use </w:t>
      </w:r>
      <w:r w:rsidR="00887177">
        <w:rPr>
          <w:lang w:val="en-AU"/>
        </w:rPr>
        <w:t>–</w:t>
      </w:r>
      <w:r>
        <w:rPr>
          <w:lang w:val="en-AU"/>
        </w:rPr>
        <w:t xml:space="preserve"> </w:t>
      </w:r>
      <w:r w:rsidR="00887177">
        <w:rPr>
          <w:lang w:val="en-AU"/>
        </w:rPr>
        <w:t>with the implication that the addition of EGMs would have little impact upon gaming expenditure and gambling harm.</w:t>
      </w:r>
    </w:p>
    <w:p w14:paraId="53ABE6B6" w14:textId="65AD5F22" w:rsidR="00887177" w:rsidRPr="008855AE" w:rsidRDefault="00887177" w:rsidP="008229D9">
      <w:pPr>
        <w:pStyle w:val="ListParagraph"/>
        <w:numPr>
          <w:ilvl w:val="0"/>
          <w:numId w:val="2"/>
        </w:numPr>
        <w:spacing w:after="0" w:line="312" w:lineRule="auto"/>
        <w:ind w:left="426"/>
        <w:jc w:val="both"/>
        <w:rPr>
          <w:lang w:val="en-AU"/>
        </w:rPr>
      </w:pPr>
      <w:r>
        <w:rPr>
          <w:lang w:val="en-AU"/>
        </w:rPr>
        <w:t>The venue experiences relatively low rates of gaming expenditure per EGM, suggesting similarly low levels of gambling harm among its patrons. Conversely, on occasion the Commission has construed the high levels of expenditure per EGM as evidence of ‘high intensity gambling’</w:t>
      </w:r>
      <w:r w:rsidR="00AE56AA">
        <w:rPr>
          <w:lang w:val="en-AU"/>
        </w:rPr>
        <w:t>, likely to result in</w:t>
      </w:r>
      <w:r>
        <w:rPr>
          <w:lang w:val="en-AU"/>
        </w:rPr>
        <w:t xml:space="preserve"> gambling harm. </w:t>
      </w:r>
    </w:p>
    <w:p w14:paraId="1E60F6AF" w14:textId="7B8BD364" w:rsidR="001704D8" w:rsidRDefault="001704D8" w:rsidP="0023767E">
      <w:pPr>
        <w:spacing w:after="0" w:line="312" w:lineRule="auto"/>
        <w:jc w:val="both"/>
        <w:rPr>
          <w:lang w:val="en-AU"/>
        </w:rPr>
      </w:pPr>
    </w:p>
    <w:p w14:paraId="04D5E9FF" w14:textId="34C52229" w:rsidR="008E231F" w:rsidRPr="003B1531" w:rsidRDefault="00DD7B65" w:rsidP="008E231F">
      <w:pPr>
        <w:spacing w:after="0" w:line="312" w:lineRule="auto"/>
        <w:jc w:val="both"/>
        <w:rPr>
          <w:b/>
          <w:bCs/>
          <w:lang w:val="en-AU"/>
        </w:rPr>
      </w:pPr>
      <w:r>
        <w:rPr>
          <w:b/>
          <w:bCs/>
          <w:lang w:val="en-AU"/>
        </w:rPr>
        <w:t>S</w:t>
      </w:r>
      <w:r w:rsidR="008E231F" w:rsidRPr="003B1531">
        <w:rPr>
          <w:b/>
          <w:bCs/>
          <w:lang w:val="en-AU"/>
        </w:rPr>
        <w:t xml:space="preserve">ocial </w:t>
      </w:r>
      <w:r w:rsidR="008E231F">
        <w:rPr>
          <w:b/>
          <w:bCs/>
          <w:lang w:val="en-AU"/>
        </w:rPr>
        <w:t>considerations</w:t>
      </w:r>
      <w:r>
        <w:rPr>
          <w:b/>
          <w:bCs/>
          <w:lang w:val="en-AU"/>
        </w:rPr>
        <w:t xml:space="preserve"> relating to the application or the conduct of gaming by the venue</w:t>
      </w:r>
    </w:p>
    <w:p w14:paraId="1D7E9CC0" w14:textId="77777777" w:rsidR="008E231F" w:rsidRDefault="008E231F" w:rsidP="008E231F">
      <w:pPr>
        <w:spacing w:after="0" w:line="312" w:lineRule="auto"/>
        <w:jc w:val="both"/>
        <w:rPr>
          <w:lang w:val="en-AU"/>
        </w:rPr>
      </w:pPr>
      <w:r w:rsidRPr="00A4162C">
        <w:rPr>
          <w:i/>
          <w:iCs/>
          <w:lang w:val="en-AU"/>
        </w:rPr>
        <w:t>Improved facilities and services</w:t>
      </w:r>
      <w:r>
        <w:rPr>
          <w:lang w:val="en-AU"/>
        </w:rPr>
        <w:t xml:space="preserve">: The Commission generally holds that the development of improved entertainment and gaming facilities at a venue associated with an application, represents a social benefit, supplying an improved and diversified entertainment offering at the venue, supporting a growing community, providing recreation for families, forming a strong community presence, and in the case of some clubs, supporting a vital community facility. It has also commended applications which may reduce waiting times for gaming machines during peak periods – especially where the venue exhibits high rates of EGM utilization - and widen choice for patrons. Conversely though, the Commission may assign less weight to the proposed increase in number and range of gaming machines where the venue seldom experiences peak utilisation. </w:t>
      </w:r>
    </w:p>
    <w:p w14:paraId="1D5045AC" w14:textId="77777777" w:rsidR="008E231F" w:rsidRDefault="008E231F" w:rsidP="008E231F">
      <w:pPr>
        <w:spacing w:before="60" w:after="0" w:line="312" w:lineRule="auto"/>
        <w:jc w:val="both"/>
        <w:rPr>
          <w:lang w:val="en-AU"/>
        </w:rPr>
      </w:pPr>
      <w:r>
        <w:rPr>
          <w:lang w:val="en-AU"/>
        </w:rPr>
        <w:t xml:space="preserve">On the other hand, the Commission has conceded that improved venue facilities may be attractive to people with gambling problems, thereby contributing to gambling harm, remarking in one instance that </w:t>
      </w:r>
      <w:r w:rsidRPr="00617754">
        <w:rPr>
          <w:lang w:val="en-AU"/>
        </w:rPr>
        <w:t xml:space="preserve">“…the increased size of the gaming room and the proposed renovations at these </w:t>
      </w:r>
      <w:r>
        <w:rPr>
          <w:lang w:val="en-AU"/>
        </w:rPr>
        <w:t>p</w:t>
      </w:r>
      <w:r w:rsidRPr="00617754">
        <w:rPr>
          <w:lang w:val="en-AU"/>
        </w:rPr>
        <w:t>remises would have the potential of increasing the attractiveness of the venue for all categories of gamblers (including problem gamblers as well as for those for whom gambling would be associated with some measure of harm).”</w:t>
      </w:r>
    </w:p>
    <w:p w14:paraId="2B8D9BBF" w14:textId="77777777" w:rsidR="008E231F" w:rsidRDefault="008E231F" w:rsidP="008E231F">
      <w:pPr>
        <w:spacing w:after="0" w:line="312" w:lineRule="auto"/>
        <w:jc w:val="both"/>
        <w:rPr>
          <w:lang w:val="en-AU"/>
        </w:rPr>
      </w:pPr>
      <w:r>
        <w:rPr>
          <w:lang w:val="en-AU"/>
        </w:rPr>
        <w:t>The Commission is inclined to accept on face value, any claim by the applicant that the improvement of its entertainment facilities and accompanying refurbishments will only proceed if it is granted the increase in gaming machines sought in its proposal. In response to a claim that planned improvements to a venue might proceed regardless of outcome of the application, the Commission dismissed this proposition as “…</w:t>
      </w:r>
      <w:r w:rsidRPr="00983FB0">
        <w:rPr>
          <w:lang w:val="en-AU"/>
        </w:rPr>
        <w:t>entirely speculative, placing it beyond the scope of its deliberations.</w:t>
      </w:r>
      <w:r>
        <w:rPr>
          <w:lang w:val="en-AU"/>
        </w:rPr>
        <w:t>” However, where the Commission is informed, or determines, that the planned refurbishments may indeed go ahead, even if the application is refused, then such improvements are accorded little or weight.</w:t>
      </w:r>
    </w:p>
    <w:p w14:paraId="729CB411" w14:textId="77777777" w:rsidR="008E231F" w:rsidRDefault="008E231F" w:rsidP="008E231F">
      <w:pPr>
        <w:spacing w:before="60" w:after="0" w:line="312" w:lineRule="auto"/>
        <w:jc w:val="both"/>
        <w:rPr>
          <w:lang w:val="en-AU"/>
        </w:rPr>
      </w:pPr>
      <w:r>
        <w:rPr>
          <w:lang w:val="en-AU"/>
        </w:rPr>
        <w:t>The Commission may also assign little weight to proposed refurbishments or improved entertainment offerings where they are:</w:t>
      </w:r>
    </w:p>
    <w:p w14:paraId="00B4ED89" w14:textId="77777777" w:rsidR="008E231F" w:rsidRDefault="008E231F" w:rsidP="008E231F">
      <w:pPr>
        <w:pStyle w:val="ListParagraph"/>
        <w:numPr>
          <w:ilvl w:val="0"/>
          <w:numId w:val="2"/>
        </w:numPr>
        <w:spacing w:after="0" w:line="312" w:lineRule="auto"/>
        <w:jc w:val="both"/>
        <w:rPr>
          <w:lang w:val="en-AU"/>
        </w:rPr>
      </w:pPr>
      <w:r>
        <w:rPr>
          <w:lang w:val="en-AU"/>
        </w:rPr>
        <w:t>of modest scale or diversity, relative to existing services at the venue</w:t>
      </w:r>
    </w:p>
    <w:p w14:paraId="38094FE6" w14:textId="77777777" w:rsidR="008E231F" w:rsidRDefault="008E231F" w:rsidP="008E231F">
      <w:pPr>
        <w:pStyle w:val="ListParagraph"/>
        <w:numPr>
          <w:ilvl w:val="0"/>
          <w:numId w:val="2"/>
        </w:numPr>
        <w:spacing w:after="0" w:line="312" w:lineRule="auto"/>
        <w:jc w:val="both"/>
        <w:rPr>
          <w:lang w:val="en-AU"/>
        </w:rPr>
      </w:pPr>
      <w:r>
        <w:rPr>
          <w:lang w:val="en-AU"/>
        </w:rPr>
        <w:t>do not add substantially to entertainment facilities already available in the area</w:t>
      </w:r>
    </w:p>
    <w:p w14:paraId="584B0E0F" w14:textId="77777777" w:rsidR="008E231F" w:rsidRDefault="008E231F" w:rsidP="008E231F">
      <w:pPr>
        <w:pStyle w:val="ListParagraph"/>
        <w:numPr>
          <w:ilvl w:val="0"/>
          <w:numId w:val="2"/>
        </w:numPr>
        <w:spacing w:after="0" w:line="312" w:lineRule="auto"/>
        <w:jc w:val="both"/>
        <w:rPr>
          <w:lang w:val="en-AU"/>
        </w:rPr>
      </w:pPr>
      <w:r>
        <w:rPr>
          <w:lang w:val="en-AU"/>
        </w:rPr>
        <w:lastRenderedPageBreak/>
        <w:t>largely focused upon gaming</w:t>
      </w:r>
    </w:p>
    <w:p w14:paraId="52674325" w14:textId="77777777" w:rsidR="008E231F" w:rsidRPr="00340D0E" w:rsidRDefault="008E231F" w:rsidP="008E231F">
      <w:pPr>
        <w:pStyle w:val="ListParagraph"/>
        <w:numPr>
          <w:ilvl w:val="0"/>
          <w:numId w:val="2"/>
        </w:numPr>
        <w:spacing w:after="0" w:line="312" w:lineRule="auto"/>
        <w:jc w:val="both"/>
        <w:rPr>
          <w:lang w:val="en-AU"/>
        </w:rPr>
      </w:pPr>
      <w:r>
        <w:rPr>
          <w:lang w:val="en-AU"/>
        </w:rPr>
        <w:t>would generally be available only to club members</w:t>
      </w:r>
    </w:p>
    <w:p w14:paraId="5E87B948" w14:textId="77777777" w:rsidR="008E231F" w:rsidRDefault="008E231F" w:rsidP="008E231F">
      <w:pPr>
        <w:spacing w:before="60" w:after="0" w:line="312" w:lineRule="auto"/>
        <w:jc w:val="both"/>
        <w:rPr>
          <w:lang w:val="en-AU"/>
        </w:rPr>
      </w:pPr>
      <w:r>
        <w:rPr>
          <w:i/>
          <w:iCs/>
          <w:lang w:val="en-AU"/>
        </w:rPr>
        <w:t>Pledges of additional c</w:t>
      </w:r>
      <w:r w:rsidRPr="0073740B">
        <w:rPr>
          <w:i/>
          <w:iCs/>
          <w:lang w:val="en-AU"/>
        </w:rPr>
        <w:t>ommunity support by applicants</w:t>
      </w:r>
      <w:r>
        <w:rPr>
          <w:lang w:val="en-AU"/>
        </w:rPr>
        <w:t>: Applicants routinely promise to provide funding to organisations or projects of benefit to the community if their application is successful. Such support may take the form of grants to community organisations or welfare agencies, engagement of a welfare worker at their venue, free or inexpensive room hire for community groups, a community bus, discounted food, and other charitable contributions. Applicants may also seek to collaborate with the local council in a process for allocating grants, or may identify specific local groups to receive such financial support – a step which the Commission has commended as “…</w:t>
      </w:r>
      <w:r w:rsidRPr="00CD00B4">
        <w:rPr>
          <w:lang w:val="en-AU"/>
        </w:rPr>
        <w:t>provi</w:t>
      </w:r>
      <w:r>
        <w:rPr>
          <w:lang w:val="en-AU"/>
        </w:rPr>
        <w:t>ding</w:t>
      </w:r>
      <w:r w:rsidRPr="00CD00B4">
        <w:rPr>
          <w:lang w:val="en-AU"/>
        </w:rPr>
        <w:t xml:space="preserve"> a level of certainty</w:t>
      </w:r>
      <w:r>
        <w:rPr>
          <w:lang w:val="en-AU"/>
        </w:rPr>
        <w:t>”.</w:t>
      </w:r>
    </w:p>
    <w:p w14:paraId="17DBED01" w14:textId="77777777" w:rsidR="008E231F" w:rsidRDefault="008E231F" w:rsidP="008E231F">
      <w:pPr>
        <w:spacing w:after="0" w:line="312" w:lineRule="auto"/>
        <w:jc w:val="both"/>
        <w:rPr>
          <w:lang w:val="en-AU"/>
        </w:rPr>
      </w:pPr>
      <w:r>
        <w:rPr>
          <w:lang w:val="en-AU"/>
        </w:rPr>
        <w:t xml:space="preserve">However, the Commission only assigns weight to such promises if they are contingent upon a favourable outcome of the application. Accordingly, pledges of </w:t>
      </w:r>
      <w:proofErr w:type="gramStart"/>
      <w:r>
        <w:rPr>
          <w:lang w:val="en-AU"/>
        </w:rPr>
        <w:t>support</w:t>
      </w:r>
      <w:proofErr w:type="gramEnd"/>
      <w:r>
        <w:rPr>
          <w:lang w:val="en-AU"/>
        </w:rPr>
        <w:t xml:space="preserve"> which is already being provided, or would be granted regardless of the outcome of an application, are given less weight.</w:t>
      </w:r>
    </w:p>
    <w:p w14:paraId="6B1FFDC7" w14:textId="77777777" w:rsidR="008E231F" w:rsidRDefault="008E231F" w:rsidP="008E231F">
      <w:pPr>
        <w:spacing w:after="0" w:line="312" w:lineRule="auto"/>
        <w:jc w:val="both"/>
        <w:rPr>
          <w:lang w:val="en-AU"/>
        </w:rPr>
      </w:pPr>
      <w:r>
        <w:rPr>
          <w:lang w:val="en-AU"/>
        </w:rPr>
        <w:t>The Commission also looks with acute disfavour upon applicants which have failed to meet pledges of community support made during earlier applications for gaming machines.</w:t>
      </w:r>
    </w:p>
    <w:p w14:paraId="4557A0E5" w14:textId="77777777" w:rsidR="008E231F" w:rsidRDefault="008E231F" w:rsidP="008E231F">
      <w:pPr>
        <w:spacing w:after="0" w:line="312" w:lineRule="auto"/>
        <w:jc w:val="both"/>
        <w:rPr>
          <w:lang w:val="en-AU"/>
        </w:rPr>
      </w:pPr>
      <w:r>
        <w:rPr>
          <w:lang w:val="en-AU"/>
        </w:rPr>
        <w:t>On occasion, the Commission has also called into question the efficacy of a proposed program. In a 2017 application by Club Officer, it concluded that a</w:t>
      </w:r>
      <w:r w:rsidRPr="00307858">
        <w:rPr>
          <w:lang w:val="en-AU"/>
        </w:rPr>
        <w:t xml:space="preserve"> chaplaincy service proposed by the venue to assist problem gamblers</w:t>
      </w:r>
      <w:r>
        <w:rPr>
          <w:lang w:val="en-AU"/>
        </w:rPr>
        <w:t xml:space="preserve"> had little merit since</w:t>
      </w:r>
      <w:r w:rsidRPr="00307858">
        <w:rPr>
          <w:lang w:val="en-AU"/>
        </w:rPr>
        <w:t xml:space="preserve"> the chaplain would be available</w:t>
      </w:r>
      <w:r>
        <w:rPr>
          <w:lang w:val="en-AU"/>
        </w:rPr>
        <w:t xml:space="preserve"> for a few hours</w:t>
      </w:r>
      <w:r w:rsidRPr="00307858">
        <w:rPr>
          <w:lang w:val="en-AU"/>
        </w:rPr>
        <w:t>, non-religious people would be unlikely to use the service</w:t>
      </w:r>
      <w:r>
        <w:rPr>
          <w:lang w:val="en-AU"/>
        </w:rPr>
        <w:t>,</w:t>
      </w:r>
      <w:r w:rsidRPr="00307858">
        <w:rPr>
          <w:lang w:val="en-AU"/>
        </w:rPr>
        <w:t xml:space="preserve"> and no evidence </w:t>
      </w:r>
      <w:r>
        <w:rPr>
          <w:lang w:val="en-AU"/>
        </w:rPr>
        <w:t>was presented to verify</w:t>
      </w:r>
      <w:r w:rsidRPr="00307858">
        <w:rPr>
          <w:lang w:val="en-AU"/>
        </w:rPr>
        <w:t xml:space="preserve"> the efficacy of </w:t>
      </w:r>
      <w:r>
        <w:rPr>
          <w:lang w:val="en-AU"/>
        </w:rPr>
        <w:t>the</w:t>
      </w:r>
      <w:r w:rsidRPr="00307858">
        <w:rPr>
          <w:lang w:val="en-AU"/>
        </w:rPr>
        <w:t xml:space="preserve"> service.</w:t>
      </w:r>
    </w:p>
    <w:p w14:paraId="4DC456B8" w14:textId="77777777" w:rsidR="008E231F" w:rsidRDefault="008E231F" w:rsidP="008E231F">
      <w:pPr>
        <w:spacing w:before="60" w:after="0" w:line="312" w:lineRule="auto"/>
        <w:jc w:val="both"/>
        <w:rPr>
          <w:lang w:val="en-AU"/>
        </w:rPr>
      </w:pPr>
      <w:r w:rsidRPr="00975102">
        <w:rPr>
          <w:i/>
          <w:iCs/>
          <w:lang w:val="en-AU"/>
        </w:rPr>
        <w:t>Existing community support by applicants</w:t>
      </w:r>
      <w:r>
        <w:rPr>
          <w:lang w:val="en-AU"/>
        </w:rPr>
        <w:t>: The Commission often favours applicants whose venues are already funding sport or other community organisations, arguing that the funds generated by additional gaming machines would help to sustain or extend this support, to the benefit of the local community. In one instance, for example, it acclaimed the p</w:t>
      </w:r>
      <w:r w:rsidRPr="00975102">
        <w:rPr>
          <w:lang w:val="en-AU"/>
        </w:rPr>
        <w:t xml:space="preserve">roposed refurbishments of the club and improved viability of a </w:t>
      </w:r>
      <w:r>
        <w:rPr>
          <w:lang w:val="en-AU"/>
        </w:rPr>
        <w:t>“…</w:t>
      </w:r>
      <w:r w:rsidRPr="00975102">
        <w:rPr>
          <w:lang w:val="en-AU"/>
        </w:rPr>
        <w:t>community-based club with a diverse offering of services and strong community presence</w:t>
      </w:r>
      <w:r>
        <w:rPr>
          <w:lang w:val="en-AU"/>
        </w:rPr>
        <w:t>.”</w:t>
      </w:r>
    </w:p>
    <w:p w14:paraId="003FAF68" w14:textId="77777777" w:rsidR="008E231F" w:rsidRDefault="008E231F" w:rsidP="008E231F">
      <w:pPr>
        <w:spacing w:after="0" w:line="312" w:lineRule="auto"/>
        <w:jc w:val="both"/>
        <w:rPr>
          <w:lang w:val="en-AU"/>
        </w:rPr>
      </w:pPr>
      <w:r>
        <w:rPr>
          <w:lang w:val="en-AU"/>
        </w:rPr>
        <w:t>However, little weight is assigned to support provided to community groups where the Commission perceives that this is merely intended to promote the venue and attract customers. In addition, support provided to community organisations and programs operating outside off the municipality, and services (such as meeting rooms) which are already locally available in abundance, attract little credit.</w:t>
      </w:r>
    </w:p>
    <w:p w14:paraId="2638E51A" w14:textId="77777777" w:rsidR="008E231F" w:rsidRPr="003E6A87" w:rsidRDefault="008E231F" w:rsidP="008E231F">
      <w:pPr>
        <w:spacing w:before="60" w:after="0" w:line="312" w:lineRule="auto"/>
        <w:jc w:val="both"/>
        <w:rPr>
          <w:b/>
          <w:bCs/>
          <w:lang w:val="en-AU"/>
        </w:rPr>
      </w:pPr>
      <w:r w:rsidRPr="003E6A87">
        <w:rPr>
          <w:i/>
          <w:iCs/>
          <w:lang w:val="en-AU"/>
        </w:rPr>
        <w:t>Family violence and gambling harm</w:t>
      </w:r>
      <w:r>
        <w:rPr>
          <w:b/>
          <w:bCs/>
          <w:lang w:val="en-AU"/>
        </w:rPr>
        <w:t xml:space="preserve">: </w:t>
      </w:r>
      <w:r>
        <w:rPr>
          <w:lang w:val="en-AU"/>
        </w:rPr>
        <w:t xml:space="preserve">Family conflict and violence are cited in the literature as circumstances which may be aggravated by, among other conditions, gambling problems. In several decisions through, the Commission concludes that evidence has not established a causal link between gambling and family violence, and that an increase in gaming machines at a venue may not aggravate family violence. </w:t>
      </w:r>
    </w:p>
    <w:p w14:paraId="6FB9D263" w14:textId="77777777" w:rsidR="008E231F" w:rsidRDefault="008E231F" w:rsidP="008E231F">
      <w:pPr>
        <w:spacing w:after="0" w:line="312" w:lineRule="auto"/>
        <w:jc w:val="both"/>
        <w:rPr>
          <w:lang w:val="en-AU"/>
        </w:rPr>
      </w:pPr>
      <w:r>
        <w:rPr>
          <w:lang w:val="en-AU"/>
        </w:rPr>
        <w:t xml:space="preserve">However, in other instances, the Commission appears responsive to evidence of a link between gambling and family violence. Presented with extensive evidence of the relationship between gambling problems and family violence in one hearing, it conceded that the application might indeed accentuate family violence in the area, allowing that, </w:t>
      </w:r>
      <w:r w:rsidRPr="00DD21C2">
        <w:rPr>
          <w:lang w:val="en-AU"/>
        </w:rPr>
        <w:t>while a causal link that would indicate that the application would increase family violence has not been established, it considers that “</w:t>
      </w:r>
      <w:r>
        <w:rPr>
          <w:lang w:val="en-AU"/>
        </w:rPr>
        <w:t>…</w:t>
      </w:r>
      <w:r w:rsidRPr="00DD21C2">
        <w:rPr>
          <w:lang w:val="en-AU"/>
        </w:rPr>
        <w:t>if the application</w:t>
      </w:r>
      <w:r>
        <w:rPr>
          <w:lang w:val="en-AU"/>
        </w:rPr>
        <w:t xml:space="preserve"> is</w:t>
      </w:r>
      <w:r w:rsidRPr="00DD21C2">
        <w:rPr>
          <w:lang w:val="en-AU"/>
        </w:rPr>
        <w:t xml:space="preserve"> granted, there may be a more acute risk of an increase in…social disturbance (including family violence)</w:t>
      </w:r>
      <w:r>
        <w:rPr>
          <w:lang w:val="en-AU"/>
        </w:rPr>
        <w:t xml:space="preserve">.” </w:t>
      </w:r>
    </w:p>
    <w:p w14:paraId="46C9142E" w14:textId="77777777" w:rsidR="008E231F" w:rsidRDefault="008E231F" w:rsidP="008E231F">
      <w:pPr>
        <w:spacing w:after="0" w:line="312" w:lineRule="auto"/>
        <w:jc w:val="both"/>
        <w:rPr>
          <w:lang w:val="en-AU"/>
        </w:rPr>
      </w:pPr>
      <w:r>
        <w:rPr>
          <w:lang w:val="en-AU"/>
        </w:rPr>
        <w:t xml:space="preserve">The Commission tends to dismiss claims of a prospective rise in family violence associated with an application, where it is not shown how the specific application would result in such an outcome. In one case it remarked that evidence concerning family violence “…did not relate to the venue specifically.” Such </w:t>
      </w:r>
      <w:r>
        <w:rPr>
          <w:lang w:val="en-AU"/>
        </w:rPr>
        <w:lastRenderedPageBreak/>
        <w:t xml:space="preserve">conclusions underscore the importance of presenting evidence which shows how the </w:t>
      </w:r>
      <w:proofErr w:type="gramStart"/>
      <w:r>
        <w:rPr>
          <w:lang w:val="en-AU"/>
        </w:rPr>
        <w:t>particular application</w:t>
      </w:r>
      <w:proofErr w:type="gramEnd"/>
      <w:r>
        <w:rPr>
          <w:lang w:val="en-AU"/>
        </w:rPr>
        <w:t xml:space="preserve"> may predispose to a rise in family violence.</w:t>
      </w:r>
    </w:p>
    <w:p w14:paraId="7D280F0A" w14:textId="49CEBE35" w:rsidR="008E231F" w:rsidRDefault="008E231F" w:rsidP="0023767E">
      <w:pPr>
        <w:spacing w:after="0" w:line="312" w:lineRule="auto"/>
        <w:jc w:val="both"/>
        <w:rPr>
          <w:lang w:val="en-AU"/>
        </w:rPr>
      </w:pPr>
    </w:p>
    <w:p w14:paraId="6789B8D1" w14:textId="255ED8B7" w:rsidR="00DD7B65" w:rsidRPr="00FD07A0" w:rsidRDefault="00DD7B65" w:rsidP="00DD7B65">
      <w:pPr>
        <w:spacing w:after="0" w:line="312" w:lineRule="auto"/>
        <w:jc w:val="both"/>
        <w:rPr>
          <w:b/>
          <w:bCs/>
          <w:lang w:val="en-AU"/>
        </w:rPr>
      </w:pPr>
      <w:r>
        <w:rPr>
          <w:b/>
          <w:bCs/>
          <w:lang w:val="en-AU"/>
        </w:rPr>
        <w:t>P</w:t>
      </w:r>
      <w:r w:rsidRPr="00FD07A0">
        <w:rPr>
          <w:b/>
          <w:bCs/>
          <w:lang w:val="en-AU"/>
        </w:rPr>
        <w:t xml:space="preserve">ublic opinion </w:t>
      </w:r>
    </w:p>
    <w:p w14:paraId="298415F9" w14:textId="77777777" w:rsidR="00DD7B65" w:rsidRPr="00924EFD" w:rsidRDefault="00DD7B65" w:rsidP="00DD7B65">
      <w:pPr>
        <w:spacing w:after="0" w:line="312" w:lineRule="auto"/>
        <w:jc w:val="both"/>
        <w:rPr>
          <w:i/>
          <w:iCs/>
          <w:lang w:val="en-AU"/>
        </w:rPr>
      </w:pPr>
      <w:r w:rsidRPr="00924EFD">
        <w:rPr>
          <w:i/>
          <w:iCs/>
          <w:lang w:val="en-AU"/>
        </w:rPr>
        <w:t>Community surveys</w:t>
      </w:r>
    </w:p>
    <w:p w14:paraId="4B4BC873" w14:textId="77777777" w:rsidR="00DD7B65" w:rsidRDefault="00DD7B65" w:rsidP="00DD7B65">
      <w:pPr>
        <w:spacing w:after="0" w:line="312" w:lineRule="auto"/>
        <w:jc w:val="both"/>
        <w:rPr>
          <w:lang w:val="en-AU"/>
        </w:rPr>
      </w:pPr>
      <w:r>
        <w:rPr>
          <w:lang w:val="en-AU"/>
        </w:rPr>
        <w:t>In the past, applicants or local governments have conducted surveys of community members to gauge their opinions about the merit of a proposal. The Commission acknowledges that it must consider community attitudes in reaching its decisions and expects any assertion about community opinions to be corroborated by surveys or other efforts to canvas public opinion, else by community submissions.</w:t>
      </w:r>
    </w:p>
    <w:p w14:paraId="3555B932" w14:textId="77777777" w:rsidR="00DD7B65" w:rsidRDefault="00DD7B65" w:rsidP="00DD7B65">
      <w:pPr>
        <w:spacing w:after="0" w:line="312" w:lineRule="auto"/>
        <w:jc w:val="both"/>
        <w:rPr>
          <w:lang w:val="en-AU"/>
        </w:rPr>
      </w:pPr>
      <w:r>
        <w:rPr>
          <w:lang w:val="en-AU"/>
        </w:rPr>
        <w:t>It is difficult however, to conduct a substantial, representative and unbiased survey of public opinion, and the Commission may challenge the validity or significance of survey findings on any of a range of grounds; among them:</w:t>
      </w:r>
    </w:p>
    <w:p w14:paraId="34AE8FB4" w14:textId="77777777" w:rsidR="00DD7B65" w:rsidRDefault="00DD7B65" w:rsidP="008229D9">
      <w:pPr>
        <w:pStyle w:val="ListParagraph"/>
        <w:numPr>
          <w:ilvl w:val="0"/>
          <w:numId w:val="2"/>
        </w:numPr>
        <w:spacing w:after="0" w:line="312" w:lineRule="auto"/>
        <w:ind w:left="426"/>
        <w:jc w:val="both"/>
        <w:rPr>
          <w:lang w:val="en-AU"/>
        </w:rPr>
      </w:pPr>
      <w:r>
        <w:rPr>
          <w:lang w:val="en-AU"/>
        </w:rPr>
        <w:t>that the survey recorded the opinions of only members of the club or venue patrons – who would be expected to favour the proposal - rather than the wider community.</w:t>
      </w:r>
    </w:p>
    <w:p w14:paraId="27CBAC62" w14:textId="77777777" w:rsidR="00DD7B65" w:rsidRDefault="00DD7B65" w:rsidP="008229D9">
      <w:pPr>
        <w:pStyle w:val="ListParagraph"/>
        <w:numPr>
          <w:ilvl w:val="0"/>
          <w:numId w:val="2"/>
        </w:numPr>
        <w:spacing w:after="0" w:line="312" w:lineRule="auto"/>
        <w:ind w:left="426"/>
        <w:jc w:val="both"/>
        <w:rPr>
          <w:lang w:val="en-AU"/>
        </w:rPr>
      </w:pPr>
      <w:r>
        <w:rPr>
          <w:lang w:val="en-AU"/>
        </w:rPr>
        <w:t>the survey featured relatively few respondents or registered a low response rate.</w:t>
      </w:r>
    </w:p>
    <w:p w14:paraId="4BA0E3B9" w14:textId="77777777" w:rsidR="00DD7B65" w:rsidRDefault="00DD7B65" w:rsidP="008229D9">
      <w:pPr>
        <w:pStyle w:val="ListParagraph"/>
        <w:numPr>
          <w:ilvl w:val="0"/>
          <w:numId w:val="2"/>
        </w:numPr>
        <w:spacing w:after="0" w:line="312" w:lineRule="auto"/>
        <w:ind w:left="426"/>
        <w:jc w:val="both"/>
        <w:rPr>
          <w:lang w:val="en-AU"/>
        </w:rPr>
      </w:pPr>
      <w:r>
        <w:rPr>
          <w:lang w:val="en-AU"/>
        </w:rPr>
        <w:t xml:space="preserve">the survey, or interviews with </w:t>
      </w:r>
      <w:proofErr w:type="gramStart"/>
      <w:r>
        <w:rPr>
          <w:lang w:val="en-AU"/>
        </w:rPr>
        <w:t>local residents</w:t>
      </w:r>
      <w:proofErr w:type="gramEnd"/>
      <w:r>
        <w:rPr>
          <w:lang w:val="en-AU"/>
        </w:rPr>
        <w:t>, tended to attract people who were already inclined to oppose the application – termed ‘self-selection bias’.</w:t>
      </w:r>
    </w:p>
    <w:p w14:paraId="764D0BEB" w14:textId="77777777" w:rsidR="00DD7B65" w:rsidRDefault="00DD7B65" w:rsidP="008229D9">
      <w:pPr>
        <w:pStyle w:val="ListParagraph"/>
        <w:numPr>
          <w:ilvl w:val="0"/>
          <w:numId w:val="2"/>
        </w:numPr>
        <w:spacing w:after="0" w:line="312" w:lineRule="auto"/>
        <w:ind w:left="426"/>
        <w:jc w:val="both"/>
        <w:rPr>
          <w:lang w:val="en-AU"/>
        </w:rPr>
      </w:pPr>
      <w:r>
        <w:rPr>
          <w:lang w:val="en-AU"/>
        </w:rPr>
        <w:t>opposition to the proposal registered in the survey or consultation signified a general aversion to gambling, rather than addressing specific details of the proposal.</w:t>
      </w:r>
    </w:p>
    <w:p w14:paraId="04CF1CCD" w14:textId="77777777" w:rsidR="00DD7B65" w:rsidRDefault="00DD7B65" w:rsidP="008229D9">
      <w:pPr>
        <w:pStyle w:val="ListParagraph"/>
        <w:numPr>
          <w:ilvl w:val="0"/>
          <w:numId w:val="2"/>
        </w:numPr>
        <w:spacing w:after="0" w:line="312" w:lineRule="auto"/>
        <w:ind w:left="426"/>
        <w:jc w:val="both"/>
        <w:rPr>
          <w:lang w:val="en-AU"/>
        </w:rPr>
      </w:pPr>
      <w:r>
        <w:rPr>
          <w:lang w:val="en-AU"/>
        </w:rPr>
        <w:t>the survey failed to inform respondents of the balance of harms and benefits associated with the proposal, thereby preventing them from registering an informed opinion.</w:t>
      </w:r>
    </w:p>
    <w:p w14:paraId="1890A3A4" w14:textId="77777777" w:rsidR="00DD7B65" w:rsidRDefault="00DD7B65" w:rsidP="008229D9">
      <w:pPr>
        <w:pStyle w:val="ListParagraph"/>
        <w:numPr>
          <w:ilvl w:val="0"/>
          <w:numId w:val="2"/>
        </w:numPr>
        <w:spacing w:after="0" w:line="312" w:lineRule="auto"/>
        <w:ind w:left="426"/>
        <w:jc w:val="both"/>
        <w:rPr>
          <w:lang w:val="en-AU"/>
        </w:rPr>
      </w:pPr>
      <w:r>
        <w:rPr>
          <w:lang w:val="en-AU"/>
        </w:rPr>
        <w:t>most respondents, regardless of their attitude to the proposal, did not feel that it would affect them personally.</w:t>
      </w:r>
    </w:p>
    <w:p w14:paraId="7FE282C5" w14:textId="77777777" w:rsidR="00DD7B65" w:rsidRDefault="00DD7B65" w:rsidP="008229D9">
      <w:pPr>
        <w:pStyle w:val="ListParagraph"/>
        <w:numPr>
          <w:ilvl w:val="0"/>
          <w:numId w:val="2"/>
        </w:numPr>
        <w:spacing w:after="0" w:line="312" w:lineRule="auto"/>
        <w:ind w:left="426"/>
        <w:jc w:val="both"/>
        <w:rPr>
          <w:lang w:val="en-AU"/>
        </w:rPr>
      </w:pPr>
      <w:r>
        <w:rPr>
          <w:lang w:val="en-AU"/>
        </w:rPr>
        <w:t xml:space="preserve">while </w:t>
      </w:r>
      <w:proofErr w:type="gramStart"/>
      <w:r>
        <w:rPr>
          <w:lang w:val="en-AU"/>
        </w:rPr>
        <w:t>a majority of</w:t>
      </w:r>
      <w:proofErr w:type="gramEnd"/>
      <w:r>
        <w:rPr>
          <w:lang w:val="en-AU"/>
        </w:rPr>
        <w:t xml:space="preserve"> survey respondents were opposed to the proposal, this did not represent overwhelming opposition.</w:t>
      </w:r>
    </w:p>
    <w:p w14:paraId="2FBFC89D" w14:textId="77777777" w:rsidR="00DD7B65" w:rsidRDefault="00DD7B65" w:rsidP="008229D9">
      <w:pPr>
        <w:pStyle w:val="ListParagraph"/>
        <w:numPr>
          <w:ilvl w:val="0"/>
          <w:numId w:val="2"/>
        </w:numPr>
        <w:spacing w:after="0" w:line="312" w:lineRule="auto"/>
        <w:ind w:left="426"/>
        <w:jc w:val="both"/>
        <w:rPr>
          <w:lang w:val="en-AU"/>
        </w:rPr>
      </w:pPr>
      <w:r>
        <w:rPr>
          <w:lang w:val="en-AU"/>
        </w:rPr>
        <w:t>concerns expressed about the proposal would dissipate in time, since there are already gaming venues in the locality. Conversely, the Commission has given weight to opposition registered in surveys, where there are no other gaming venues nearby.</w:t>
      </w:r>
    </w:p>
    <w:p w14:paraId="6B7FEB0D" w14:textId="77777777" w:rsidR="00DD7B65" w:rsidRPr="00924EFD" w:rsidRDefault="00DD7B65" w:rsidP="00DD7B65">
      <w:pPr>
        <w:spacing w:before="60" w:after="0" w:line="312" w:lineRule="auto"/>
        <w:jc w:val="both"/>
        <w:rPr>
          <w:i/>
          <w:iCs/>
          <w:lang w:val="en-AU"/>
        </w:rPr>
      </w:pPr>
      <w:r w:rsidRPr="00924EFD">
        <w:rPr>
          <w:i/>
          <w:iCs/>
          <w:lang w:val="en-AU"/>
        </w:rPr>
        <w:t>Community Submissions</w:t>
      </w:r>
    </w:p>
    <w:p w14:paraId="25693E85" w14:textId="77777777" w:rsidR="00DD7B65" w:rsidRDefault="00DD7B65" w:rsidP="00DD7B65">
      <w:pPr>
        <w:spacing w:after="0" w:line="312" w:lineRule="auto"/>
        <w:jc w:val="both"/>
        <w:rPr>
          <w:lang w:val="en-AU"/>
        </w:rPr>
      </w:pPr>
      <w:r>
        <w:rPr>
          <w:lang w:val="en-AU"/>
        </w:rPr>
        <w:t>Submissions presented by community members, agencies or organisations are given credit by the Commission where they reflect specific concerns about an application, rather than registering opposition to gambling in general. Remarking upon s</w:t>
      </w:r>
      <w:r w:rsidRPr="00C97D7E">
        <w:rPr>
          <w:lang w:val="en-AU"/>
        </w:rPr>
        <w:t>ubmission</w:t>
      </w:r>
      <w:r>
        <w:rPr>
          <w:lang w:val="en-AU"/>
        </w:rPr>
        <w:t>s</w:t>
      </w:r>
      <w:r w:rsidRPr="00C97D7E">
        <w:rPr>
          <w:lang w:val="en-AU"/>
        </w:rPr>
        <w:t xml:space="preserve"> by individual</w:t>
      </w:r>
      <w:r>
        <w:rPr>
          <w:lang w:val="en-AU"/>
        </w:rPr>
        <w:t>s</w:t>
      </w:r>
      <w:r w:rsidRPr="00C97D7E">
        <w:rPr>
          <w:lang w:val="en-AU"/>
        </w:rPr>
        <w:t xml:space="preserve"> and agencies </w:t>
      </w:r>
      <w:r>
        <w:rPr>
          <w:lang w:val="en-AU"/>
        </w:rPr>
        <w:t>was well as</w:t>
      </w:r>
      <w:r w:rsidRPr="00C97D7E">
        <w:rPr>
          <w:lang w:val="en-AU"/>
        </w:rPr>
        <w:t xml:space="preserve"> a council survey and community video, all registering concerns about the application</w:t>
      </w:r>
      <w:r>
        <w:rPr>
          <w:lang w:val="en-AU"/>
        </w:rPr>
        <w:t>,</w:t>
      </w:r>
      <w:r w:rsidRPr="00C97D7E">
        <w:rPr>
          <w:lang w:val="en-AU"/>
        </w:rPr>
        <w:t xml:space="preserve"> the Commission </w:t>
      </w:r>
      <w:r>
        <w:rPr>
          <w:lang w:val="en-AU"/>
        </w:rPr>
        <w:t>conceded that they represented</w:t>
      </w:r>
      <w:r w:rsidRPr="00C97D7E">
        <w:rPr>
          <w:lang w:val="en-AU"/>
        </w:rPr>
        <w:t xml:space="preserve"> a “…consistent and sustained negative attitude by the community</w:t>
      </w:r>
      <w:r>
        <w:rPr>
          <w:lang w:val="en-AU"/>
        </w:rPr>
        <w:t>….”</w:t>
      </w:r>
    </w:p>
    <w:p w14:paraId="51904444" w14:textId="77777777" w:rsidR="00DD7B65" w:rsidRPr="001A7B40" w:rsidRDefault="00DD7B65" w:rsidP="00DD7B65">
      <w:pPr>
        <w:spacing w:after="0" w:line="312" w:lineRule="auto"/>
        <w:jc w:val="both"/>
        <w:rPr>
          <w:lang w:val="en-AU"/>
        </w:rPr>
      </w:pPr>
      <w:r w:rsidRPr="001A7B40">
        <w:rPr>
          <w:lang w:val="en-AU"/>
        </w:rPr>
        <w:t>However, it may ascribe less importance to submissions from outside the municipality, and it has observed that welfare agencies may have a skewed perception of the impacts of gambling, since they deal with many people who experience gambling problems, rather than a broad cross-section of the community.</w:t>
      </w:r>
    </w:p>
    <w:p w14:paraId="2697B747" w14:textId="77777777" w:rsidR="00DD7B65" w:rsidRPr="001A7B40" w:rsidRDefault="00DD7B65" w:rsidP="00DD7B65">
      <w:pPr>
        <w:spacing w:after="0" w:line="312" w:lineRule="auto"/>
        <w:jc w:val="both"/>
        <w:rPr>
          <w:lang w:val="en-AU"/>
        </w:rPr>
      </w:pPr>
      <w:r w:rsidRPr="001A7B40">
        <w:rPr>
          <w:lang w:val="en-AU"/>
        </w:rPr>
        <w:t>Further, submissions by individuals or organisations which merely reflect gratitude for financial support from the applicant, are generally discounted.</w:t>
      </w:r>
    </w:p>
    <w:p w14:paraId="1B63DEBC" w14:textId="7E7BBE6B" w:rsidR="00DD7B65" w:rsidRDefault="00DD7B65" w:rsidP="0023767E">
      <w:pPr>
        <w:spacing w:after="0" w:line="312" w:lineRule="auto"/>
        <w:jc w:val="both"/>
        <w:rPr>
          <w:lang w:val="en-AU"/>
        </w:rPr>
      </w:pPr>
    </w:p>
    <w:p w14:paraId="6C451870" w14:textId="77777777" w:rsidR="008229D9" w:rsidRDefault="008229D9" w:rsidP="0023767E">
      <w:pPr>
        <w:spacing w:after="0" w:line="312" w:lineRule="auto"/>
        <w:jc w:val="both"/>
        <w:rPr>
          <w:lang w:val="en-AU"/>
        </w:rPr>
      </w:pPr>
    </w:p>
    <w:p w14:paraId="1B4FFCBA" w14:textId="0CC6898A" w:rsidR="00FA0D26" w:rsidRPr="00FA0D26" w:rsidRDefault="008E231F" w:rsidP="0023767E">
      <w:pPr>
        <w:spacing w:after="0" w:line="312" w:lineRule="auto"/>
        <w:jc w:val="both"/>
        <w:rPr>
          <w:b/>
          <w:bCs/>
          <w:lang w:val="en-AU"/>
        </w:rPr>
      </w:pPr>
      <w:r>
        <w:rPr>
          <w:b/>
          <w:bCs/>
          <w:lang w:val="en-AU"/>
        </w:rPr>
        <w:lastRenderedPageBreak/>
        <w:t>ECONOMIC CONSIDERATIONS</w:t>
      </w:r>
    </w:p>
    <w:p w14:paraId="27D74C38" w14:textId="2D39BF03" w:rsidR="00FA0D26" w:rsidRDefault="00FA0D26" w:rsidP="0023767E">
      <w:pPr>
        <w:spacing w:after="0" w:line="312" w:lineRule="auto"/>
        <w:jc w:val="both"/>
        <w:rPr>
          <w:lang w:val="en-AU"/>
        </w:rPr>
      </w:pPr>
      <w:r>
        <w:rPr>
          <w:lang w:val="en-AU"/>
        </w:rPr>
        <w:t xml:space="preserve">The Commission holds that any rise in expenditure at a venue </w:t>
      </w:r>
      <w:r w:rsidR="00B8757A">
        <w:rPr>
          <w:lang w:val="en-AU"/>
        </w:rPr>
        <w:t>entailed by</w:t>
      </w:r>
      <w:r>
        <w:rPr>
          <w:lang w:val="en-AU"/>
        </w:rPr>
        <w:t xml:space="preserve"> a proposal </w:t>
      </w:r>
      <w:r w:rsidR="00B24EFF">
        <w:rPr>
          <w:lang w:val="en-AU"/>
        </w:rPr>
        <w:t>which</w:t>
      </w:r>
      <w:r>
        <w:rPr>
          <w:lang w:val="en-AU"/>
        </w:rPr>
        <w:t xml:space="preserve"> is new expenditure (expenditure not transferred from other venues in the municipality) and </w:t>
      </w:r>
      <w:r w:rsidR="00B24EFF">
        <w:rPr>
          <w:lang w:val="en-AU"/>
        </w:rPr>
        <w:t>which</w:t>
      </w:r>
      <w:r>
        <w:rPr>
          <w:lang w:val="en-AU"/>
        </w:rPr>
        <w:t xml:space="preserve"> does not </w:t>
      </w:r>
      <w:r w:rsidR="00B24EFF">
        <w:rPr>
          <w:lang w:val="en-AU"/>
        </w:rPr>
        <w:t>emanate</w:t>
      </w:r>
      <w:r>
        <w:rPr>
          <w:lang w:val="en-AU"/>
        </w:rPr>
        <w:t xml:space="preserve"> from people experiencing gambling problems, represents a </w:t>
      </w:r>
      <w:r w:rsidR="00B24EFF">
        <w:rPr>
          <w:lang w:val="en-AU"/>
        </w:rPr>
        <w:t>favourable</w:t>
      </w:r>
      <w:r>
        <w:rPr>
          <w:lang w:val="en-AU"/>
        </w:rPr>
        <w:t xml:space="preserve"> economic stimulus for the municipal economy.</w:t>
      </w:r>
      <w:r w:rsidR="00AE56AA">
        <w:rPr>
          <w:lang w:val="en-AU"/>
        </w:rPr>
        <w:t xml:space="preserve"> </w:t>
      </w:r>
    </w:p>
    <w:p w14:paraId="48C7175E" w14:textId="766E3717" w:rsidR="00614030" w:rsidRDefault="00376137" w:rsidP="0023767E">
      <w:pPr>
        <w:spacing w:after="0" w:line="312" w:lineRule="auto"/>
        <w:jc w:val="both"/>
        <w:rPr>
          <w:lang w:val="en-AU"/>
        </w:rPr>
      </w:pPr>
      <w:r>
        <w:rPr>
          <w:lang w:val="en-AU"/>
        </w:rPr>
        <w:t>In a further</w:t>
      </w:r>
      <w:r w:rsidR="00AE56AA">
        <w:rPr>
          <w:lang w:val="en-AU"/>
        </w:rPr>
        <w:t xml:space="preserve"> relevant</w:t>
      </w:r>
      <w:r>
        <w:rPr>
          <w:lang w:val="en-AU"/>
        </w:rPr>
        <w:t xml:space="preserve"> line of reasoning, the Commission </w:t>
      </w:r>
      <w:r w:rsidR="00B8757A">
        <w:rPr>
          <w:lang w:val="en-AU"/>
        </w:rPr>
        <w:t>may</w:t>
      </w:r>
      <w:r>
        <w:rPr>
          <w:lang w:val="en-AU"/>
        </w:rPr>
        <w:t xml:space="preserve"> add that any increase in gaming expenditure</w:t>
      </w:r>
      <w:r w:rsidR="00B8757A">
        <w:rPr>
          <w:lang w:val="en-AU"/>
        </w:rPr>
        <w:t>,</w:t>
      </w:r>
      <w:r>
        <w:rPr>
          <w:lang w:val="en-AU"/>
        </w:rPr>
        <w:t xml:space="preserve"> </w:t>
      </w:r>
      <w:r w:rsidR="00B24EFF">
        <w:rPr>
          <w:lang w:val="en-AU"/>
        </w:rPr>
        <w:t>not</w:t>
      </w:r>
      <w:r>
        <w:rPr>
          <w:lang w:val="en-AU"/>
        </w:rPr>
        <w:t xml:space="preserve"> associated with problem gambling, represents a</w:t>
      </w:r>
      <w:r w:rsidR="00B8757A">
        <w:rPr>
          <w:lang w:val="en-AU"/>
        </w:rPr>
        <w:t xml:space="preserve"> further</w:t>
      </w:r>
      <w:r>
        <w:rPr>
          <w:lang w:val="en-AU"/>
        </w:rPr>
        <w:t xml:space="preserve"> economic benefit in </w:t>
      </w:r>
      <w:r w:rsidR="00B8757A">
        <w:rPr>
          <w:lang w:val="en-AU"/>
        </w:rPr>
        <w:t>providing</w:t>
      </w:r>
      <w:r>
        <w:rPr>
          <w:lang w:val="en-AU"/>
        </w:rPr>
        <w:t xml:space="preserve"> patrons with an enjoyable activity</w:t>
      </w:r>
      <w:r w:rsidR="00B8757A">
        <w:rPr>
          <w:lang w:val="en-AU"/>
        </w:rPr>
        <w:t xml:space="preserve"> and meeting</w:t>
      </w:r>
      <w:r>
        <w:rPr>
          <w:lang w:val="en-AU"/>
        </w:rPr>
        <w:t xml:space="preserve"> consumer demand for gambling. In one instance, it </w:t>
      </w:r>
      <w:r w:rsidR="00B059A1">
        <w:rPr>
          <w:lang w:val="en-AU"/>
        </w:rPr>
        <w:t>explains</w:t>
      </w:r>
      <w:r>
        <w:rPr>
          <w:lang w:val="en-AU"/>
        </w:rPr>
        <w:t xml:space="preserve"> this benefit as “…</w:t>
      </w:r>
      <w:r w:rsidRPr="00376137">
        <w:rPr>
          <w:lang w:val="en-AU"/>
        </w:rPr>
        <w:t>legitimate consumption expenditure by users who are enjoying a recreational activity."</w:t>
      </w:r>
    </w:p>
    <w:p w14:paraId="59A20C45" w14:textId="29105259" w:rsidR="00383C1C" w:rsidRDefault="00383C1C" w:rsidP="0023767E">
      <w:pPr>
        <w:spacing w:before="60" w:after="0" w:line="312" w:lineRule="auto"/>
        <w:jc w:val="both"/>
        <w:rPr>
          <w:lang w:val="en-AU"/>
        </w:rPr>
      </w:pPr>
      <w:r w:rsidRPr="00383C1C">
        <w:rPr>
          <w:i/>
          <w:iCs/>
          <w:lang w:val="en-AU"/>
        </w:rPr>
        <w:t>Complementary expenditure</w:t>
      </w:r>
      <w:r>
        <w:rPr>
          <w:lang w:val="en-AU"/>
        </w:rPr>
        <w:t xml:space="preserve">: </w:t>
      </w:r>
      <w:r w:rsidR="00BD7EB5">
        <w:rPr>
          <w:lang w:val="en-AU"/>
        </w:rPr>
        <w:t>Further economic benefits ascribed to applications include complementary expenditure</w:t>
      </w:r>
      <w:r w:rsidR="00AE56AA">
        <w:rPr>
          <w:lang w:val="en-AU"/>
        </w:rPr>
        <w:t>:</w:t>
      </w:r>
      <w:r w:rsidR="00BD7EB5">
        <w:rPr>
          <w:lang w:val="en-AU"/>
        </w:rPr>
        <w:t xml:space="preserve"> expenditure on food, drinks and entertainment at the venue </w:t>
      </w:r>
      <w:r w:rsidR="00B8757A">
        <w:rPr>
          <w:lang w:val="en-AU"/>
        </w:rPr>
        <w:t>resulting</w:t>
      </w:r>
      <w:r w:rsidR="00BD7EB5">
        <w:rPr>
          <w:lang w:val="en-AU"/>
        </w:rPr>
        <w:t xml:space="preserve"> from increased patronage</w:t>
      </w:r>
      <w:r w:rsidR="00714C0F">
        <w:rPr>
          <w:lang w:val="en-AU"/>
        </w:rPr>
        <w:t>,</w:t>
      </w:r>
      <w:r w:rsidR="00BD7EB5">
        <w:rPr>
          <w:lang w:val="en-AU"/>
        </w:rPr>
        <w:t xml:space="preserve"> spurred by the addition of gaming machines and any planned refurbishments. </w:t>
      </w:r>
      <w:r w:rsidR="00714C0F">
        <w:rPr>
          <w:lang w:val="en-AU"/>
        </w:rPr>
        <w:t>Where such</w:t>
      </w:r>
      <w:r w:rsidR="00BD7EB5">
        <w:rPr>
          <w:lang w:val="en-AU"/>
        </w:rPr>
        <w:t xml:space="preserve"> complementary </w:t>
      </w:r>
      <w:r>
        <w:rPr>
          <w:lang w:val="en-AU"/>
        </w:rPr>
        <w:t>expenditure</w:t>
      </w:r>
      <w:r w:rsidR="00BD7EB5">
        <w:rPr>
          <w:lang w:val="en-AU"/>
        </w:rPr>
        <w:t xml:space="preserve"> </w:t>
      </w:r>
      <w:r w:rsidR="00714C0F">
        <w:rPr>
          <w:lang w:val="en-AU"/>
        </w:rPr>
        <w:t xml:space="preserve">is </w:t>
      </w:r>
      <w:r w:rsidR="00BD7EB5">
        <w:rPr>
          <w:lang w:val="en-AU"/>
        </w:rPr>
        <w:t xml:space="preserve">drawn from outside the </w:t>
      </w:r>
      <w:r>
        <w:rPr>
          <w:lang w:val="en-AU"/>
        </w:rPr>
        <w:t>municipality</w:t>
      </w:r>
      <w:r w:rsidR="00714C0F">
        <w:rPr>
          <w:lang w:val="en-AU"/>
        </w:rPr>
        <w:t>, it</w:t>
      </w:r>
      <w:r w:rsidR="00BD7EB5">
        <w:rPr>
          <w:lang w:val="en-AU"/>
        </w:rPr>
        <w:t xml:space="preserve"> is regarded by the Commission as an economic benefit</w:t>
      </w:r>
      <w:r w:rsidR="00573BCB">
        <w:rPr>
          <w:lang w:val="en-AU"/>
        </w:rPr>
        <w:t xml:space="preserve"> to the municipality </w:t>
      </w:r>
      <w:r w:rsidR="008E231F">
        <w:rPr>
          <w:lang w:val="en-AU"/>
        </w:rPr>
        <w:t>where</w:t>
      </w:r>
      <w:r w:rsidR="00573BCB">
        <w:rPr>
          <w:lang w:val="en-AU"/>
        </w:rPr>
        <w:t xml:space="preserve"> the venue is situated</w:t>
      </w:r>
      <w:r>
        <w:rPr>
          <w:lang w:val="en-AU"/>
        </w:rPr>
        <w:t xml:space="preserve">. </w:t>
      </w:r>
    </w:p>
    <w:p w14:paraId="4619137B" w14:textId="79355EF0" w:rsidR="00B059A1" w:rsidRDefault="00383C1C" w:rsidP="0023767E">
      <w:pPr>
        <w:spacing w:after="0" w:line="312" w:lineRule="auto"/>
        <w:jc w:val="both"/>
        <w:rPr>
          <w:lang w:val="en-AU"/>
        </w:rPr>
      </w:pPr>
      <w:r>
        <w:rPr>
          <w:lang w:val="en-AU"/>
        </w:rPr>
        <w:t xml:space="preserve">However, the </w:t>
      </w:r>
      <w:r w:rsidR="00717E03">
        <w:rPr>
          <w:lang w:val="en-AU"/>
        </w:rPr>
        <w:t>Commission</w:t>
      </w:r>
      <w:r>
        <w:rPr>
          <w:lang w:val="en-AU"/>
        </w:rPr>
        <w:t xml:space="preserve"> </w:t>
      </w:r>
      <w:r w:rsidR="00714C0F">
        <w:rPr>
          <w:lang w:val="en-AU"/>
        </w:rPr>
        <w:t xml:space="preserve">may </w:t>
      </w:r>
      <w:r w:rsidR="00AE56AA">
        <w:rPr>
          <w:lang w:val="en-AU"/>
        </w:rPr>
        <w:t>give less credit to</w:t>
      </w:r>
      <w:r>
        <w:rPr>
          <w:lang w:val="en-AU"/>
        </w:rPr>
        <w:t xml:space="preserve"> such expenditure where it is merely transferred from other venues</w:t>
      </w:r>
      <w:r w:rsidR="00573BCB">
        <w:rPr>
          <w:lang w:val="en-AU"/>
        </w:rPr>
        <w:t xml:space="preserve"> in the municipality</w:t>
      </w:r>
      <w:r w:rsidR="00AE56AA">
        <w:rPr>
          <w:lang w:val="en-AU"/>
        </w:rPr>
        <w:t>;</w:t>
      </w:r>
      <w:r>
        <w:rPr>
          <w:lang w:val="en-AU"/>
        </w:rPr>
        <w:t xml:space="preserve"> where is not clear that the food and drinks will be sourced from businesses within the municipality</w:t>
      </w:r>
      <w:r w:rsidR="00AE56AA">
        <w:rPr>
          <w:lang w:val="en-AU"/>
        </w:rPr>
        <w:t>;</w:t>
      </w:r>
      <w:r w:rsidR="002E21DC">
        <w:rPr>
          <w:lang w:val="en-AU"/>
        </w:rPr>
        <w:t xml:space="preserve"> </w:t>
      </w:r>
      <w:r w:rsidR="00AE56AA">
        <w:rPr>
          <w:lang w:val="en-AU"/>
        </w:rPr>
        <w:t>or</w:t>
      </w:r>
      <w:r w:rsidR="002E21DC">
        <w:rPr>
          <w:lang w:val="en-AU"/>
        </w:rPr>
        <w:t xml:space="preserve"> where the volume of expenditure is small</w:t>
      </w:r>
      <w:r w:rsidR="00714C0F">
        <w:rPr>
          <w:lang w:val="en-AU"/>
        </w:rPr>
        <w:t>,</w:t>
      </w:r>
      <w:r w:rsidR="002E21DC">
        <w:rPr>
          <w:lang w:val="en-AU"/>
        </w:rPr>
        <w:t xml:space="preserve"> relative to the scale of the municipal economy.</w:t>
      </w:r>
    </w:p>
    <w:p w14:paraId="15E9EED9" w14:textId="30B4D2D3" w:rsidR="002E21DC" w:rsidRDefault="002E21DC" w:rsidP="0023767E">
      <w:pPr>
        <w:spacing w:before="60" w:after="0" w:line="312" w:lineRule="auto"/>
        <w:jc w:val="both"/>
        <w:rPr>
          <w:lang w:val="en-AU"/>
        </w:rPr>
      </w:pPr>
      <w:r w:rsidRPr="002E21DC">
        <w:rPr>
          <w:i/>
          <w:iCs/>
          <w:lang w:val="en-AU"/>
        </w:rPr>
        <w:t>Increased venue employment/hiring of contractors for venue refurbishment</w:t>
      </w:r>
      <w:r>
        <w:rPr>
          <w:lang w:val="en-AU"/>
        </w:rPr>
        <w:t xml:space="preserve">: Any forecast </w:t>
      </w:r>
      <w:proofErr w:type="gramStart"/>
      <w:r>
        <w:rPr>
          <w:lang w:val="en-AU"/>
        </w:rPr>
        <w:t>rise</w:t>
      </w:r>
      <w:proofErr w:type="gramEnd"/>
      <w:r>
        <w:rPr>
          <w:lang w:val="en-AU"/>
        </w:rPr>
        <w:t xml:space="preserve"> in </w:t>
      </w:r>
      <w:r w:rsidR="00714C0F">
        <w:rPr>
          <w:lang w:val="en-AU"/>
        </w:rPr>
        <w:t xml:space="preserve">permanent </w:t>
      </w:r>
      <w:r>
        <w:rPr>
          <w:lang w:val="en-AU"/>
        </w:rPr>
        <w:t>employment at the venue</w:t>
      </w:r>
      <w:r w:rsidR="00714C0F">
        <w:rPr>
          <w:lang w:val="en-AU"/>
        </w:rPr>
        <w:t>,</w:t>
      </w:r>
      <w:r>
        <w:rPr>
          <w:lang w:val="en-AU"/>
        </w:rPr>
        <w:t xml:space="preserve"> and expenditure on contactors</w:t>
      </w:r>
      <w:r w:rsidR="00714C0F">
        <w:rPr>
          <w:lang w:val="en-AU"/>
        </w:rPr>
        <w:t>,</w:t>
      </w:r>
      <w:r>
        <w:rPr>
          <w:lang w:val="en-AU"/>
        </w:rPr>
        <w:t xml:space="preserve"> is generally regarded as a </w:t>
      </w:r>
      <w:r w:rsidR="00717E03">
        <w:rPr>
          <w:lang w:val="en-AU"/>
        </w:rPr>
        <w:t>positive</w:t>
      </w:r>
      <w:r>
        <w:rPr>
          <w:lang w:val="en-AU"/>
        </w:rPr>
        <w:t xml:space="preserve"> </w:t>
      </w:r>
      <w:r w:rsidR="00717E03">
        <w:rPr>
          <w:lang w:val="en-AU"/>
        </w:rPr>
        <w:t>feature</w:t>
      </w:r>
      <w:r>
        <w:rPr>
          <w:lang w:val="en-AU"/>
        </w:rPr>
        <w:t xml:space="preserve"> of a proposal, particularly in conditions of high local unemployment</w:t>
      </w:r>
      <w:r w:rsidR="00714C0F">
        <w:rPr>
          <w:lang w:val="en-AU"/>
        </w:rPr>
        <w:t xml:space="preserve"> and</w:t>
      </w:r>
      <w:r>
        <w:rPr>
          <w:lang w:val="en-AU"/>
        </w:rPr>
        <w:t xml:space="preserve"> where the staff and contractors are likely </w:t>
      </w:r>
      <w:r w:rsidR="00717E03">
        <w:rPr>
          <w:lang w:val="en-AU"/>
        </w:rPr>
        <w:t>to</w:t>
      </w:r>
      <w:r>
        <w:rPr>
          <w:lang w:val="en-AU"/>
        </w:rPr>
        <w:t xml:space="preserve"> be hired from the </w:t>
      </w:r>
      <w:r w:rsidR="00717E03">
        <w:rPr>
          <w:lang w:val="en-AU"/>
        </w:rPr>
        <w:t>municipality</w:t>
      </w:r>
      <w:r>
        <w:rPr>
          <w:lang w:val="en-AU"/>
        </w:rPr>
        <w:t xml:space="preserve">. Assurances by the applicant of </w:t>
      </w:r>
      <w:r w:rsidR="00714C0F">
        <w:rPr>
          <w:lang w:val="en-AU"/>
        </w:rPr>
        <w:t>its</w:t>
      </w:r>
      <w:r>
        <w:rPr>
          <w:lang w:val="en-AU"/>
        </w:rPr>
        <w:t xml:space="preserve"> intent to engage local staff and contractors, </w:t>
      </w:r>
      <w:r w:rsidR="00C64717">
        <w:rPr>
          <w:lang w:val="en-AU"/>
        </w:rPr>
        <w:t>or</w:t>
      </w:r>
      <w:r>
        <w:rPr>
          <w:lang w:val="en-AU"/>
        </w:rPr>
        <w:t xml:space="preserve"> a high </w:t>
      </w:r>
      <w:r w:rsidR="00714C0F">
        <w:rPr>
          <w:lang w:val="en-AU"/>
        </w:rPr>
        <w:t xml:space="preserve">representation of </w:t>
      </w:r>
      <w:proofErr w:type="gramStart"/>
      <w:r w:rsidR="00714C0F">
        <w:rPr>
          <w:lang w:val="en-AU"/>
        </w:rPr>
        <w:t>local residents</w:t>
      </w:r>
      <w:proofErr w:type="gramEnd"/>
      <w:r w:rsidR="00714C0F">
        <w:rPr>
          <w:lang w:val="en-AU"/>
        </w:rPr>
        <w:t xml:space="preserve"> among the </w:t>
      </w:r>
      <w:r>
        <w:rPr>
          <w:lang w:val="en-AU"/>
        </w:rPr>
        <w:t xml:space="preserve">current </w:t>
      </w:r>
      <w:r w:rsidR="00714C0F">
        <w:rPr>
          <w:lang w:val="en-AU"/>
        </w:rPr>
        <w:t xml:space="preserve">venue </w:t>
      </w:r>
      <w:r>
        <w:rPr>
          <w:lang w:val="en-AU"/>
        </w:rPr>
        <w:t>staff</w:t>
      </w:r>
      <w:r w:rsidR="00C64717">
        <w:rPr>
          <w:lang w:val="en-AU"/>
        </w:rPr>
        <w:t>,</w:t>
      </w:r>
      <w:r>
        <w:rPr>
          <w:lang w:val="en-AU"/>
        </w:rPr>
        <w:t xml:space="preserve"> </w:t>
      </w:r>
      <w:r w:rsidR="00C64717">
        <w:rPr>
          <w:lang w:val="en-AU"/>
        </w:rPr>
        <w:t>may be</w:t>
      </w:r>
      <w:r w:rsidR="00714C0F">
        <w:rPr>
          <w:lang w:val="en-AU"/>
        </w:rPr>
        <w:t xml:space="preserve"> accepted by the Commission</w:t>
      </w:r>
      <w:r w:rsidR="00C64717">
        <w:rPr>
          <w:lang w:val="en-AU"/>
        </w:rPr>
        <w:t xml:space="preserve"> as evidence of that prospect</w:t>
      </w:r>
      <w:r w:rsidR="00475874">
        <w:rPr>
          <w:lang w:val="en-AU"/>
        </w:rPr>
        <w:t>.</w:t>
      </w:r>
    </w:p>
    <w:p w14:paraId="093C00B4" w14:textId="6ABC47AA" w:rsidR="00DF6418" w:rsidRDefault="00DF6418" w:rsidP="0023767E">
      <w:pPr>
        <w:spacing w:after="0" w:line="312" w:lineRule="auto"/>
        <w:jc w:val="both"/>
        <w:rPr>
          <w:lang w:val="en-AU"/>
        </w:rPr>
      </w:pPr>
      <w:r>
        <w:rPr>
          <w:lang w:val="en-AU"/>
        </w:rPr>
        <w:t>The possibility of increased employment</w:t>
      </w:r>
      <w:r w:rsidR="00714C0F">
        <w:rPr>
          <w:lang w:val="en-AU"/>
        </w:rPr>
        <w:t xml:space="preserve"> stemming from</w:t>
      </w:r>
      <w:r>
        <w:rPr>
          <w:lang w:val="en-AU"/>
        </w:rPr>
        <w:t xml:space="preserve"> a proposal, is regarded with less favour </w:t>
      </w:r>
      <w:r w:rsidR="00CB78A0">
        <w:rPr>
          <w:lang w:val="en-AU"/>
        </w:rPr>
        <w:t xml:space="preserve">or credence </w:t>
      </w:r>
      <w:r>
        <w:rPr>
          <w:lang w:val="en-AU"/>
        </w:rPr>
        <w:t>where the local unemployment rate is low, where the forecast increase in staff appears exaggerated, or where the</w:t>
      </w:r>
      <w:r w:rsidR="00C64717">
        <w:rPr>
          <w:lang w:val="en-AU"/>
        </w:rPr>
        <w:t xml:space="preserve"> projected</w:t>
      </w:r>
      <w:r>
        <w:rPr>
          <w:lang w:val="en-AU"/>
        </w:rPr>
        <w:t xml:space="preserve"> rise in </w:t>
      </w:r>
      <w:r w:rsidR="00573BCB">
        <w:rPr>
          <w:lang w:val="en-AU"/>
        </w:rPr>
        <w:t>gaming machine</w:t>
      </w:r>
      <w:r>
        <w:rPr>
          <w:lang w:val="en-AU"/>
        </w:rPr>
        <w:t xml:space="preserve"> numbers is small in scale.</w:t>
      </w:r>
    </w:p>
    <w:p w14:paraId="1844F554" w14:textId="02D12021" w:rsidR="00383C1C" w:rsidRDefault="00644B1A" w:rsidP="0023767E">
      <w:pPr>
        <w:spacing w:before="60" w:after="0" w:line="312" w:lineRule="auto"/>
        <w:jc w:val="both"/>
        <w:rPr>
          <w:lang w:val="en-AU"/>
        </w:rPr>
      </w:pPr>
      <w:r w:rsidRPr="00E86E09">
        <w:rPr>
          <w:i/>
          <w:iCs/>
          <w:lang w:val="en-AU"/>
        </w:rPr>
        <w:t>Tourism</w:t>
      </w:r>
      <w:r>
        <w:rPr>
          <w:lang w:val="en-AU"/>
        </w:rPr>
        <w:t xml:space="preserve">: In non-metropolitan municipalities, the </w:t>
      </w:r>
      <w:r w:rsidR="000B5274">
        <w:rPr>
          <w:lang w:val="en-AU"/>
        </w:rPr>
        <w:t>Commission</w:t>
      </w:r>
      <w:r>
        <w:rPr>
          <w:lang w:val="en-AU"/>
        </w:rPr>
        <w:t xml:space="preserve"> may be inclined to look with favour upon applicants’ plans </w:t>
      </w:r>
      <w:r w:rsidR="000B5274">
        <w:rPr>
          <w:lang w:val="en-AU"/>
        </w:rPr>
        <w:t>for</w:t>
      </w:r>
      <w:r>
        <w:rPr>
          <w:lang w:val="en-AU"/>
        </w:rPr>
        <w:t xml:space="preserve"> improved services or serviced apartments, </w:t>
      </w:r>
      <w:proofErr w:type="gramStart"/>
      <w:r>
        <w:rPr>
          <w:lang w:val="en-AU"/>
        </w:rPr>
        <w:t xml:space="preserve">as </w:t>
      </w:r>
      <w:r w:rsidR="00C64717">
        <w:rPr>
          <w:lang w:val="en-AU"/>
        </w:rPr>
        <w:t>a means</w:t>
      </w:r>
      <w:r>
        <w:rPr>
          <w:lang w:val="en-AU"/>
        </w:rPr>
        <w:t xml:space="preserve"> to</w:t>
      </w:r>
      <w:proofErr w:type="gramEnd"/>
      <w:r>
        <w:rPr>
          <w:lang w:val="en-AU"/>
        </w:rPr>
        <w:t xml:space="preserve"> promote </w:t>
      </w:r>
      <w:r w:rsidR="000B5274">
        <w:rPr>
          <w:lang w:val="en-AU"/>
        </w:rPr>
        <w:t>tourism</w:t>
      </w:r>
      <w:r>
        <w:rPr>
          <w:lang w:val="en-AU"/>
        </w:rPr>
        <w:t xml:space="preserve"> </w:t>
      </w:r>
      <w:r w:rsidR="00C64717">
        <w:rPr>
          <w:lang w:val="en-AU"/>
        </w:rPr>
        <w:t>in</w:t>
      </w:r>
      <w:r>
        <w:rPr>
          <w:lang w:val="en-AU"/>
        </w:rPr>
        <w:t xml:space="preserve"> the locality, thereby </w:t>
      </w:r>
      <w:r w:rsidR="00C64717">
        <w:rPr>
          <w:lang w:val="en-AU"/>
        </w:rPr>
        <w:t>spurring</w:t>
      </w:r>
      <w:r>
        <w:rPr>
          <w:lang w:val="en-AU"/>
        </w:rPr>
        <w:t xml:space="preserve"> local economic growth. </w:t>
      </w:r>
    </w:p>
    <w:p w14:paraId="07D92F00" w14:textId="1E838FFC" w:rsidR="00644B1A" w:rsidRDefault="00644B1A" w:rsidP="0023767E">
      <w:pPr>
        <w:spacing w:after="0" w:line="312" w:lineRule="auto"/>
        <w:jc w:val="both"/>
        <w:rPr>
          <w:lang w:val="en-AU"/>
        </w:rPr>
      </w:pPr>
      <w:r>
        <w:rPr>
          <w:lang w:val="en-AU"/>
        </w:rPr>
        <w:t>On occasion though</w:t>
      </w:r>
      <w:r w:rsidR="00D76525">
        <w:rPr>
          <w:lang w:val="en-AU"/>
        </w:rPr>
        <w:t>,</w:t>
      </w:r>
      <w:r>
        <w:rPr>
          <w:lang w:val="en-AU"/>
        </w:rPr>
        <w:t xml:space="preserve"> the Commission has </w:t>
      </w:r>
      <w:r w:rsidR="00D76525">
        <w:rPr>
          <w:lang w:val="en-AU"/>
        </w:rPr>
        <w:t>discounted</w:t>
      </w:r>
      <w:r>
        <w:rPr>
          <w:lang w:val="en-AU"/>
        </w:rPr>
        <w:t xml:space="preserve"> such benefits, </w:t>
      </w:r>
      <w:r w:rsidR="00D76525">
        <w:rPr>
          <w:lang w:val="en-AU"/>
        </w:rPr>
        <w:t xml:space="preserve">either </w:t>
      </w:r>
      <w:r>
        <w:rPr>
          <w:lang w:val="en-AU"/>
        </w:rPr>
        <w:t xml:space="preserve">where </w:t>
      </w:r>
      <w:r w:rsidR="000B5274">
        <w:rPr>
          <w:lang w:val="en-AU"/>
        </w:rPr>
        <w:t>realistic</w:t>
      </w:r>
      <w:r>
        <w:rPr>
          <w:lang w:val="en-AU"/>
        </w:rPr>
        <w:t xml:space="preserve"> estimates of the impact of a proposal upon tourism are not </w:t>
      </w:r>
      <w:r w:rsidR="00CB78A0">
        <w:rPr>
          <w:lang w:val="en-AU"/>
        </w:rPr>
        <w:t>supplied by the applicant</w:t>
      </w:r>
      <w:r>
        <w:rPr>
          <w:lang w:val="en-AU"/>
        </w:rPr>
        <w:t xml:space="preserve">, </w:t>
      </w:r>
      <w:r w:rsidR="00D76525">
        <w:rPr>
          <w:lang w:val="en-AU"/>
        </w:rPr>
        <w:t>if</w:t>
      </w:r>
      <w:r w:rsidR="000B5274">
        <w:rPr>
          <w:lang w:val="en-AU"/>
        </w:rPr>
        <w:t xml:space="preserve"> existing local facilities provide </w:t>
      </w:r>
      <w:r w:rsidR="00CB78A0">
        <w:rPr>
          <w:lang w:val="en-AU"/>
        </w:rPr>
        <w:t xml:space="preserve">an abundance of </w:t>
      </w:r>
      <w:r w:rsidR="000B5274">
        <w:rPr>
          <w:lang w:val="en-AU"/>
        </w:rPr>
        <w:t xml:space="preserve">similar services, or </w:t>
      </w:r>
      <w:r w:rsidR="00CB78A0">
        <w:rPr>
          <w:lang w:val="en-AU"/>
        </w:rPr>
        <w:t>where</w:t>
      </w:r>
      <w:r w:rsidR="000B5274">
        <w:rPr>
          <w:lang w:val="en-AU"/>
        </w:rPr>
        <w:t xml:space="preserve"> </w:t>
      </w:r>
      <w:r w:rsidR="00C64717">
        <w:rPr>
          <w:lang w:val="en-AU"/>
        </w:rPr>
        <w:t>the expected benefits to tourism</w:t>
      </w:r>
      <w:r w:rsidR="00CB78A0">
        <w:rPr>
          <w:lang w:val="en-AU"/>
        </w:rPr>
        <w:t xml:space="preserve"> may</w:t>
      </w:r>
      <w:r w:rsidR="000B5274">
        <w:rPr>
          <w:lang w:val="en-AU"/>
        </w:rPr>
        <w:t xml:space="preserve"> only prevail for a fraction of the year.</w:t>
      </w:r>
    </w:p>
    <w:p w14:paraId="42A9FA65" w14:textId="3792F703" w:rsidR="00FA0D26" w:rsidRDefault="00E86E09" w:rsidP="0023767E">
      <w:pPr>
        <w:spacing w:before="60" w:after="0" w:line="312" w:lineRule="auto"/>
        <w:jc w:val="both"/>
        <w:rPr>
          <w:lang w:val="en-AU"/>
        </w:rPr>
      </w:pPr>
      <w:r w:rsidRPr="00D76525">
        <w:rPr>
          <w:i/>
          <w:iCs/>
          <w:lang w:val="en-AU"/>
        </w:rPr>
        <w:t xml:space="preserve">Tax </w:t>
      </w:r>
      <w:r w:rsidR="00D76525" w:rsidRPr="00D76525">
        <w:rPr>
          <w:i/>
          <w:iCs/>
          <w:lang w:val="en-AU"/>
        </w:rPr>
        <w:t>reduction</w:t>
      </w:r>
      <w:r>
        <w:rPr>
          <w:lang w:val="en-AU"/>
        </w:rPr>
        <w:t xml:space="preserve">: In some instances, it may be forecast that a rise in number of gaming machines, coupled with a lesser proportionate increase in gaming expenditure, may lower the </w:t>
      </w:r>
      <w:r w:rsidR="00D76525">
        <w:rPr>
          <w:lang w:val="en-AU"/>
        </w:rPr>
        <w:t>gaming</w:t>
      </w:r>
      <w:r>
        <w:rPr>
          <w:lang w:val="en-AU"/>
        </w:rPr>
        <w:t xml:space="preserve"> revenue per machine, with the </w:t>
      </w:r>
      <w:r w:rsidR="00C64717">
        <w:rPr>
          <w:lang w:val="en-AU"/>
        </w:rPr>
        <w:t>consequence</w:t>
      </w:r>
      <w:r>
        <w:rPr>
          <w:lang w:val="en-AU"/>
        </w:rPr>
        <w:t xml:space="preserve"> that the venue may be liable for a lesser rate of tax on its gaming receipts. As a result, an applicant may contend</w:t>
      </w:r>
      <w:r w:rsidR="00C64717">
        <w:rPr>
          <w:lang w:val="en-AU"/>
        </w:rPr>
        <w:t xml:space="preserve"> that</w:t>
      </w:r>
      <w:r>
        <w:rPr>
          <w:lang w:val="en-AU"/>
        </w:rPr>
        <w:t xml:space="preserve"> its </w:t>
      </w:r>
      <w:r w:rsidR="00573BCB">
        <w:rPr>
          <w:lang w:val="en-AU"/>
        </w:rPr>
        <w:t xml:space="preserve">reduced </w:t>
      </w:r>
      <w:r>
        <w:rPr>
          <w:lang w:val="en-AU"/>
        </w:rPr>
        <w:t xml:space="preserve">tax liability would </w:t>
      </w:r>
      <w:r w:rsidR="00573BCB">
        <w:rPr>
          <w:lang w:val="en-AU"/>
        </w:rPr>
        <w:t>enable</w:t>
      </w:r>
      <w:r>
        <w:rPr>
          <w:lang w:val="en-AU"/>
        </w:rPr>
        <w:t xml:space="preserve"> it to retain more money in the community</w:t>
      </w:r>
      <w:r w:rsidR="00CB78A0">
        <w:rPr>
          <w:lang w:val="en-AU"/>
        </w:rPr>
        <w:t>, thereby generating</w:t>
      </w:r>
      <w:r>
        <w:rPr>
          <w:lang w:val="en-AU"/>
        </w:rPr>
        <w:t xml:space="preserve"> a slight stimulus for the municipal economy. In a range of decisions, the Commission has </w:t>
      </w:r>
      <w:r w:rsidR="00CB78A0">
        <w:rPr>
          <w:lang w:val="en-AU"/>
        </w:rPr>
        <w:t>either</w:t>
      </w:r>
      <w:r>
        <w:rPr>
          <w:lang w:val="en-AU"/>
        </w:rPr>
        <w:t xml:space="preserve"> </w:t>
      </w:r>
      <w:r w:rsidR="00CB78A0">
        <w:rPr>
          <w:lang w:val="en-AU"/>
        </w:rPr>
        <w:t>appraised</w:t>
      </w:r>
      <w:r>
        <w:rPr>
          <w:lang w:val="en-AU"/>
        </w:rPr>
        <w:t xml:space="preserve"> this </w:t>
      </w:r>
      <w:r w:rsidR="00CB78A0">
        <w:rPr>
          <w:lang w:val="en-AU"/>
        </w:rPr>
        <w:t>outcome</w:t>
      </w:r>
      <w:r>
        <w:rPr>
          <w:lang w:val="en-AU"/>
        </w:rPr>
        <w:t xml:space="preserve"> as a</w:t>
      </w:r>
      <w:r w:rsidR="00E54BF2">
        <w:rPr>
          <w:lang w:val="en-AU"/>
        </w:rPr>
        <w:t xml:space="preserve"> slight</w:t>
      </w:r>
      <w:r>
        <w:rPr>
          <w:lang w:val="en-AU"/>
        </w:rPr>
        <w:t xml:space="preserve"> attribute</w:t>
      </w:r>
      <w:r w:rsidR="00CB78A0">
        <w:rPr>
          <w:lang w:val="en-AU"/>
        </w:rPr>
        <w:t xml:space="preserve"> or</w:t>
      </w:r>
      <w:r>
        <w:rPr>
          <w:lang w:val="en-AU"/>
        </w:rPr>
        <w:t xml:space="preserve"> </w:t>
      </w:r>
      <w:r w:rsidR="00CB78A0">
        <w:rPr>
          <w:lang w:val="en-AU"/>
        </w:rPr>
        <w:t>discounted</w:t>
      </w:r>
      <w:r w:rsidR="00D76525">
        <w:rPr>
          <w:lang w:val="en-AU"/>
        </w:rPr>
        <w:t xml:space="preserve"> it </w:t>
      </w:r>
      <w:r w:rsidR="00CB78A0">
        <w:rPr>
          <w:lang w:val="en-AU"/>
        </w:rPr>
        <w:t>altogether</w:t>
      </w:r>
      <w:r w:rsidR="00D76525">
        <w:rPr>
          <w:lang w:val="en-AU"/>
        </w:rPr>
        <w:t>.</w:t>
      </w:r>
    </w:p>
    <w:p w14:paraId="5F207CF3" w14:textId="7A9EF666" w:rsidR="00D76525" w:rsidRDefault="009E27CB" w:rsidP="0023767E">
      <w:pPr>
        <w:spacing w:before="60" w:after="0" w:line="312" w:lineRule="auto"/>
        <w:jc w:val="both"/>
        <w:rPr>
          <w:lang w:val="en-AU"/>
        </w:rPr>
      </w:pPr>
      <w:r w:rsidRPr="00C53016">
        <w:rPr>
          <w:i/>
          <w:iCs/>
          <w:lang w:val="en-AU"/>
        </w:rPr>
        <w:t>Increased competition between venues</w:t>
      </w:r>
      <w:r>
        <w:rPr>
          <w:lang w:val="en-AU"/>
        </w:rPr>
        <w:t xml:space="preserve">: The Commission regards </w:t>
      </w:r>
      <w:r w:rsidR="00C64717">
        <w:rPr>
          <w:lang w:val="en-AU"/>
        </w:rPr>
        <w:t xml:space="preserve">the </w:t>
      </w:r>
      <w:r>
        <w:rPr>
          <w:lang w:val="en-AU"/>
        </w:rPr>
        <w:t xml:space="preserve">addition of gaming machines and venues as beneficial </w:t>
      </w:r>
      <w:r w:rsidR="00573BCB">
        <w:rPr>
          <w:lang w:val="en-AU"/>
        </w:rPr>
        <w:t>where they would</w:t>
      </w:r>
      <w:r>
        <w:rPr>
          <w:lang w:val="en-AU"/>
        </w:rPr>
        <w:t xml:space="preserve"> </w:t>
      </w:r>
      <w:r w:rsidR="00573BCB">
        <w:rPr>
          <w:lang w:val="en-AU"/>
        </w:rPr>
        <w:t>enhance</w:t>
      </w:r>
      <w:r>
        <w:rPr>
          <w:lang w:val="en-AU"/>
        </w:rPr>
        <w:t xml:space="preserve"> regional </w:t>
      </w:r>
      <w:r w:rsidR="00E53180">
        <w:rPr>
          <w:lang w:val="en-AU"/>
        </w:rPr>
        <w:t xml:space="preserve">competition – an essential feature of a healthy </w:t>
      </w:r>
      <w:r w:rsidR="00E53180">
        <w:rPr>
          <w:lang w:val="en-AU"/>
        </w:rPr>
        <w:lastRenderedPageBreak/>
        <w:t>economy</w:t>
      </w:r>
      <w:r>
        <w:rPr>
          <w:lang w:val="en-AU"/>
        </w:rPr>
        <w:t xml:space="preserve">. This fulfills a goal specified in the Gambling Regulation Act to </w:t>
      </w:r>
      <w:r w:rsidRPr="009E27CB">
        <w:rPr>
          <w:lang w:val="en-AU"/>
        </w:rPr>
        <w:t>‘promote a competitive gambling industry’</w:t>
      </w:r>
      <w:r w:rsidR="00C53016">
        <w:rPr>
          <w:lang w:val="en-AU"/>
        </w:rPr>
        <w:t xml:space="preserve"> </w:t>
      </w:r>
      <w:r>
        <w:rPr>
          <w:lang w:val="en-AU"/>
        </w:rPr>
        <w:t>while</w:t>
      </w:r>
      <w:r w:rsidR="00073398">
        <w:rPr>
          <w:lang w:val="en-AU"/>
        </w:rPr>
        <w:t xml:space="preserve"> providing increased choice for gaming patrons, and</w:t>
      </w:r>
      <w:r>
        <w:rPr>
          <w:lang w:val="en-AU"/>
        </w:rPr>
        <w:t xml:space="preserve"> stimulating local venues to improve their services.</w:t>
      </w:r>
      <w:r w:rsidR="00073398">
        <w:rPr>
          <w:lang w:val="en-AU"/>
        </w:rPr>
        <w:t xml:space="preserve"> Such competition </w:t>
      </w:r>
      <w:r w:rsidR="00CB78A0">
        <w:rPr>
          <w:lang w:val="en-AU"/>
        </w:rPr>
        <w:t>is considered</w:t>
      </w:r>
      <w:r w:rsidR="00073398">
        <w:rPr>
          <w:lang w:val="en-AU"/>
        </w:rPr>
        <w:t xml:space="preserve"> most likely to occur where there are high expected rates of </w:t>
      </w:r>
      <w:r w:rsidR="00C53016">
        <w:rPr>
          <w:lang w:val="en-AU"/>
        </w:rPr>
        <w:t>transferred</w:t>
      </w:r>
      <w:r w:rsidR="00073398">
        <w:rPr>
          <w:lang w:val="en-AU"/>
        </w:rPr>
        <w:t xml:space="preserve"> expenditure and where </w:t>
      </w:r>
      <w:r w:rsidR="00E53180">
        <w:rPr>
          <w:lang w:val="en-AU"/>
        </w:rPr>
        <w:t xml:space="preserve">lower </w:t>
      </w:r>
      <w:r w:rsidR="00073398">
        <w:rPr>
          <w:lang w:val="en-AU"/>
        </w:rPr>
        <w:t xml:space="preserve">gaming machine utilization rates </w:t>
      </w:r>
      <w:r w:rsidR="00CB78A0">
        <w:rPr>
          <w:lang w:val="en-AU"/>
        </w:rPr>
        <w:t>confirm</w:t>
      </w:r>
      <w:r w:rsidR="00073398">
        <w:rPr>
          <w:lang w:val="en-AU"/>
        </w:rPr>
        <w:t xml:space="preserve"> that </w:t>
      </w:r>
      <w:r w:rsidR="00C53016">
        <w:rPr>
          <w:lang w:val="en-AU"/>
        </w:rPr>
        <w:t>demand</w:t>
      </w:r>
      <w:r w:rsidR="00073398">
        <w:rPr>
          <w:lang w:val="en-AU"/>
        </w:rPr>
        <w:t xml:space="preserve"> does not exceed supply.</w:t>
      </w:r>
    </w:p>
    <w:p w14:paraId="538D3B14" w14:textId="79113389" w:rsidR="00F36032" w:rsidRDefault="00F36032" w:rsidP="0023767E">
      <w:pPr>
        <w:spacing w:after="0" w:line="312" w:lineRule="auto"/>
        <w:jc w:val="both"/>
        <w:rPr>
          <w:lang w:val="en-AU"/>
        </w:rPr>
      </w:pPr>
      <w:r>
        <w:rPr>
          <w:lang w:val="en-AU"/>
        </w:rPr>
        <w:t>On the other hand, any</w:t>
      </w:r>
      <w:r w:rsidR="00CB78A0">
        <w:rPr>
          <w:lang w:val="en-AU"/>
        </w:rPr>
        <w:t xml:space="preserve"> stimulus to </w:t>
      </w:r>
      <w:r>
        <w:rPr>
          <w:lang w:val="en-AU"/>
        </w:rPr>
        <w:t xml:space="preserve">competition </w:t>
      </w:r>
      <w:r w:rsidR="00CB78A0">
        <w:rPr>
          <w:lang w:val="en-AU"/>
        </w:rPr>
        <w:t>is</w:t>
      </w:r>
      <w:r>
        <w:rPr>
          <w:lang w:val="en-AU"/>
        </w:rPr>
        <w:t xml:space="preserve"> regarded as limited where there are already many venues and </w:t>
      </w:r>
      <w:r w:rsidR="00C64717">
        <w:rPr>
          <w:lang w:val="en-AU"/>
        </w:rPr>
        <w:t>gaming machines</w:t>
      </w:r>
      <w:r>
        <w:rPr>
          <w:lang w:val="en-AU"/>
        </w:rPr>
        <w:t xml:space="preserve"> in the community, where there are not other venues nearby, or where few additional gaming machines are sought under the proposal.</w:t>
      </w:r>
    </w:p>
    <w:p w14:paraId="3F0986DB" w14:textId="777C295B" w:rsidR="00E54BF2" w:rsidRDefault="00EA6EA7" w:rsidP="0023767E">
      <w:pPr>
        <w:spacing w:before="60" w:after="0" w:line="312" w:lineRule="auto"/>
        <w:jc w:val="both"/>
        <w:rPr>
          <w:lang w:val="en-AU"/>
        </w:rPr>
      </w:pPr>
      <w:r w:rsidRPr="00EA6EA7">
        <w:rPr>
          <w:i/>
          <w:iCs/>
          <w:lang w:val="en-AU"/>
        </w:rPr>
        <w:t>Diversion of expenditure from other local businesses</w:t>
      </w:r>
      <w:r>
        <w:rPr>
          <w:lang w:val="en-AU"/>
        </w:rPr>
        <w:t xml:space="preserve">: </w:t>
      </w:r>
      <w:r w:rsidR="00E54BF2">
        <w:rPr>
          <w:lang w:val="en-AU"/>
        </w:rPr>
        <w:t xml:space="preserve">The Commission has on occasion concluded that any rise in expenditure at a subject venue </w:t>
      </w:r>
      <w:proofErr w:type="gramStart"/>
      <w:r w:rsidR="00E54BF2">
        <w:rPr>
          <w:lang w:val="en-AU"/>
        </w:rPr>
        <w:t>as a result of</w:t>
      </w:r>
      <w:proofErr w:type="gramEnd"/>
      <w:r w:rsidR="00E54BF2">
        <w:rPr>
          <w:lang w:val="en-AU"/>
        </w:rPr>
        <w:t xml:space="preserve"> a proposal may divert </w:t>
      </w:r>
      <w:r w:rsidR="00573BCB">
        <w:rPr>
          <w:lang w:val="en-AU"/>
        </w:rPr>
        <w:t>funds</w:t>
      </w:r>
      <w:r w:rsidR="00E54BF2">
        <w:rPr>
          <w:lang w:val="en-AU"/>
        </w:rPr>
        <w:t xml:space="preserve"> from </w:t>
      </w:r>
      <w:r>
        <w:rPr>
          <w:lang w:val="en-AU"/>
        </w:rPr>
        <w:t xml:space="preserve">gaming or non-gaming venues in the locality. </w:t>
      </w:r>
      <w:r w:rsidR="00150486">
        <w:rPr>
          <w:lang w:val="en-AU"/>
        </w:rPr>
        <w:t>Curiously, and despite its proclaimed support for the principle of competition, t</w:t>
      </w:r>
      <w:r>
        <w:rPr>
          <w:lang w:val="en-AU"/>
        </w:rPr>
        <w:t>his is often regarded as a liability</w:t>
      </w:r>
      <w:r w:rsidR="00150486">
        <w:rPr>
          <w:lang w:val="en-AU"/>
        </w:rPr>
        <w:t>, albeit a minor one</w:t>
      </w:r>
      <w:r>
        <w:rPr>
          <w:lang w:val="en-AU"/>
        </w:rPr>
        <w:t xml:space="preserve">. In a 2013 case involving the Braybrook Hotel for instance, it commented: </w:t>
      </w:r>
      <w:r w:rsidRPr="00EA6EA7">
        <w:rPr>
          <w:lang w:val="en-AU"/>
        </w:rPr>
        <w:t>“</w:t>
      </w:r>
      <w:r>
        <w:rPr>
          <w:lang w:val="en-AU"/>
        </w:rPr>
        <w:t>…</w:t>
      </w:r>
      <w:r w:rsidRPr="00EA6EA7">
        <w:rPr>
          <w:lang w:val="en-AU"/>
        </w:rPr>
        <w:t>movement of expenditure</w:t>
      </w:r>
      <w:r w:rsidR="00573BCB">
        <w:rPr>
          <w:lang w:val="en-AU"/>
        </w:rPr>
        <w:t>…</w:t>
      </w:r>
      <w:r w:rsidRPr="00EA6EA7">
        <w:rPr>
          <w:lang w:val="en-AU"/>
        </w:rPr>
        <w:t xml:space="preserve">from “goods and services to gaming is particularly concerning </w:t>
      </w:r>
      <w:r w:rsidR="00573BCB">
        <w:rPr>
          <w:lang w:val="en-AU"/>
        </w:rPr>
        <w:t>…</w:t>
      </w:r>
      <w:r w:rsidRPr="00EA6EA7">
        <w:rPr>
          <w:lang w:val="en-AU"/>
        </w:rPr>
        <w:t>given the already high disadvantage and low average income.”</w:t>
      </w:r>
      <w:r>
        <w:rPr>
          <w:lang w:val="en-AU"/>
        </w:rPr>
        <w:t xml:space="preserve"> The impact of such diversion of expenditure is </w:t>
      </w:r>
      <w:r w:rsidR="009A026A">
        <w:rPr>
          <w:lang w:val="en-AU"/>
        </w:rPr>
        <w:t>usually</w:t>
      </w:r>
      <w:r>
        <w:rPr>
          <w:lang w:val="en-AU"/>
        </w:rPr>
        <w:t xml:space="preserve"> </w:t>
      </w:r>
      <w:r w:rsidR="009A026A">
        <w:rPr>
          <w:lang w:val="en-AU"/>
        </w:rPr>
        <w:t>dismissed as</w:t>
      </w:r>
      <w:r>
        <w:rPr>
          <w:lang w:val="en-AU"/>
        </w:rPr>
        <w:t xml:space="preserve"> </w:t>
      </w:r>
      <w:r w:rsidR="005A029D">
        <w:rPr>
          <w:lang w:val="en-AU"/>
        </w:rPr>
        <w:t>trifling</w:t>
      </w:r>
      <w:r>
        <w:rPr>
          <w:lang w:val="en-AU"/>
        </w:rPr>
        <w:t xml:space="preserve"> though, since it would be </w:t>
      </w:r>
      <w:r w:rsidR="00573BCB">
        <w:rPr>
          <w:lang w:val="en-AU"/>
        </w:rPr>
        <w:t xml:space="preserve">likely be </w:t>
      </w:r>
      <w:r>
        <w:rPr>
          <w:lang w:val="en-AU"/>
        </w:rPr>
        <w:t xml:space="preserve">distributed across many </w:t>
      </w:r>
      <w:r w:rsidR="00573BCB">
        <w:rPr>
          <w:lang w:val="en-AU"/>
        </w:rPr>
        <w:t>firms and therefore not grievously harm any single business</w:t>
      </w:r>
      <w:r>
        <w:rPr>
          <w:lang w:val="en-AU"/>
        </w:rPr>
        <w:t>.</w:t>
      </w:r>
    </w:p>
    <w:p w14:paraId="6F4EB01A" w14:textId="28470C04" w:rsidR="00BE6424" w:rsidRDefault="00BE6424" w:rsidP="0023767E">
      <w:pPr>
        <w:spacing w:before="60" w:after="0" w:line="312" w:lineRule="auto"/>
        <w:jc w:val="both"/>
        <w:rPr>
          <w:lang w:val="en-AU"/>
        </w:rPr>
      </w:pPr>
      <w:r w:rsidRPr="00FC52CF">
        <w:rPr>
          <w:i/>
          <w:iCs/>
          <w:lang w:val="en-AU"/>
        </w:rPr>
        <w:t>Payment of funds to an external or parent company</w:t>
      </w:r>
      <w:r>
        <w:rPr>
          <w:lang w:val="en-AU"/>
        </w:rPr>
        <w:t xml:space="preserve">: </w:t>
      </w:r>
      <w:r w:rsidR="00FC52CF">
        <w:rPr>
          <w:lang w:val="en-AU"/>
        </w:rPr>
        <w:t xml:space="preserve">The Commission </w:t>
      </w:r>
      <w:r w:rsidR="00793196">
        <w:rPr>
          <w:lang w:val="en-AU"/>
        </w:rPr>
        <w:t>looks askance at</w:t>
      </w:r>
      <w:r>
        <w:rPr>
          <w:lang w:val="en-AU"/>
        </w:rPr>
        <w:t xml:space="preserve"> arrangements which require </w:t>
      </w:r>
      <w:r w:rsidR="00FC52CF">
        <w:rPr>
          <w:lang w:val="en-AU"/>
        </w:rPr>
        <w:t>venues</w:t>
      </w:r>
      <w:r>
        <w:rPr>
          <w:lang w:val="en-AU"/>
        </w:rPr>
        <w:t xml:space="preserve"> to transfer funds to an external company</w:t>
      </w:r>
      <w:r w:rsidR="00793196">
        <w:rPr>
          <w:lang w:val="en-AU"/>
        </w:rPr>
        <w:t>,</w:t>
      </w:r>
      <w:r w:rsidR="00FC52CF">
        <w:rPr>
          <w:lang w:val="en-AU"/>
        </w:rPr>
        <w:t xml:space="preserve"> </w:t>
      </w:r>
      <w:r w:rsidR="00793196">
        <w:rPr>
          <w:lang w:val="en-AU"/>
        </w:rPr>
        <w:t>viewing them as</w:t>
      </w:r>
      <w:r w:rsidR="00FC52CF">
        <w:rPr>
          <w:lang w:val="en-AU"/>
        </w:rPr>
        <w:t xml:space="preserve"> an economic liability which deprives the local community of those funds, and </w:t>
      </w:r>
      <w:r w:rsidR="00573BCB">
        <w:rPr>
          <w:lang w:val="en-AU"/>
        </w:rPr>
        <w:t>a potential source of</w:t>
      </w:r>
      <w:r w:rsidR="00FC52CF">
        <w:rPr>
          <w:lang w:val="en-AU"/>
        </w:rPr>
        <w:t xml:space="preserve"> </w:t>
      </w:r>
      <w:r w:rsidR="005A029D">
        <w:rPr>
          <w:lang w:val="en-AU"/>
        </w:rPr>
        <w:t>conflict with its obligation to provide</w:t>
      </w:r>
      <w:r w:rsidR="00FC52CF">
        <w:rPr>
          <w:lang w:val="en-AU"/>
        </w:rPr>
        <w:t xml:space="preserve"> responsible gaming services.</w:t>
      </w:r>
    </w:p>
    <w:p w14:paraId="19BE6572" w14:textId="3846759F" w:rsidR="00924EFD" w:rsidRDefault="00924EFD" w:rsidP="0023767E">
      <w:pPr>
        <w:spacing w:after="0" w:line="312" w:lineRule="auto"/>
        <w:jc w:val="both"/>
        <w:rPr>
          <w:lang w:val="en-AU"/>
        </w:rPr>
      </w:pPr>
    </w:p>
    <w:p w14:paraId="021B18E0" w14:textId="6C042275" w:rsidR="00924EFD" w:rsidRPr="00D744F9" w:rsidRDefault="00DD7B65" w:rsidP="0023767E">
      <w:pPr>
        <w:spacing w:after="0" w:line="312" w:lineRule="auto"/>
        <w:jc w:val="both"/>
        <w:rPr>
          <w:b/>
          <w:bCs/>
          <w:lang w:val="en-AU"/>
        </w:rPr>
      </w:pPr>
      <w:r>
        <w:rPr>
          <w:b/>
          <w:bCs/>
          <w:lang w:val="en-AU"/>
        </w:rPr>
        <w:t xml:space="preserve">VENUE PRACTICES AND </w:t>
      </w:r>
      <w:r w:rsidR="008229D9">
        <w:rPr>
          <w:b/>
          <w:bCs/>
          <w:lang w:val="en-AU"/>
        </w:rPr>
        <w:t>THEIR INFLUENCE UPON</w:t>
      </w:r>
      <w:r>
        <w:rPr>
          <w:b/>
          <w:bCs/>
          <w:lang w:val="en-AU"/>
        </w:rPr>
        <w:t xml:space="preserve"> GAMBLING HARM</w:t>
      </w:r>
    </w:p>
    <w:p w14:paraId="28B0F35B" w14:textId="46A1C2E8" w:rsidR="009863A0" w:rsidRDefault="00D744F9" w:rsidP="0023767E">
      <w:pPr>
        <w:spacing w:after="0" w:line="312" w:lineRule="auto"/>
        <w:jc w:val="both"/>
        <w:rPr>
          <w:lang w:val="en-AU"/>
        </w:rPr>
      </w:pPr>
      <w:proofErr w:type="gramStart"/>
      <w:r>
        <w:rPr>
          <w:lang w:val="en-AU"/>
        </w:rPr>
        <w:t>A number of</w:t>
      </w:r>
      <w:proofErr w:type="gramEnd"/>
      <w:r>
        <w:rPr>
          <w:lang w:val="en-AU"/>
        </w:rPr>
        <w:t xml:space="preserve"> </w:t>
      </w:r>
      <w:r w:rsidR="00664942">
        <w:rPr>
          <w:lang w:val="en-AU"/>
        </w:rPr>
        <w:t>circumstances</w:t>
      </w:r>
      <w:r>
        <w:rPr>
          <w:lang w:val="en-AU"/>
        </w:rPr>
        <w:t xml:space="preserve"> relating to </w:t>
      </w:r>
      <w:r w:rsidR="00664942">
        <w:rPr>
          <w:lang w:val="en-AU"/>
        </w:rPr>
        <w:t>venues and their conduct of gaming</w:t>
      </w:r>
      <w:r w:rsidR="009F3659">
        <w:rPr>
          <w:lang w:val="en-AU"/>
        </w:rPr>
        <w:t xml:space="preserve"> </w:t>
      </w:r>
      <w:r>
        <w:rPr>
          <w:lang w:val="en-AU"/>
        </w:rPr>
        <w:t>are considered by the Commission to have a beneficial impact, in reducing the prospect of gambling harm.</w:t>
      </w:r>
    </w:p>
    <w:p w14:paraId="7C95A44E" w14:textId="1B01E775" w:rsidR="00664942" w:rsidRDefault="00045B1E" w:rsidP="0023767E">
      <w:pPr>
        <w:spacing w:before="60" w:after="0" w:line="312" w:lineRule="auto"/>
        <w:jc w:val="both"/>
        <w:rPr>
          <w:lang w:val="en-AU"/>
        </w:rPr>
      </w:pPr>
      <w:r w:rsidRPr="00045B1E">
        <w:rPr>
          <w:i/>
          <w:iCs/>
          <w:lang w:val="en-AU"/>
        </w:rPr>
        <w:t>The benefits of clubs</w:t>
      </w:r>
      <w:r>
        <w:rPr>
          <w:lang w:val="en-AU"/>
        </w:rPr>
        <w:t xml:space="preserve">: </w:t>
      </w:r>
      <w:r w:rsidR="00664942">
        <w:rPr>
          <w:lang w:val="en-AU"/>
        </w:rPr>
        <w:t xml:space="preserve">Clubs </w:t>
      </w:r>
      <w:r w:rsidR="00957943">
        <w:rPr>
          <w:lang w:val="en-AU"/>
        </w:rPr>
        <w:t>are</w:t>
      </w:r>
      <w:r w:rsidR="001A7B40">
        <w:rPr>
          <w:lang w:val="en-AU"/>
        </w:rPr>
        <w:t xml:space="preserve"> </w:t>
      </w:r>
      <w:r w:rsidR="00C21D84">
        <w:rPr>
          <w:lang w:val="en-AU"/>
        </w:rPr>
        <w:t>generally</w:t>
      </w:r>
      <w:r w:rsidR="00664942">
        <w:rPr>
          <w:lang w:val="en-AU"/>
        </w:rPr>
        <w:t xml:space="preserve"> </w:t>
      </w:r>
      <w:r w:rsidR="0063147A">
        <w:rPr>
          <w:lang w:val="en-AU"/>
        </w:rPr>
        <w:t>favoured</w:t>
      </w:r>
      <w:r w:rsidR="00664942">
        <w:rPr>
          <w:lang w:val="en-AU"/>
        </w:rPr>
        <w:t xml:space="preserve"> by the Commission over hotels, due to their </w:t>
      </w:r>
      <w:r w:rsidR="00957943">
        <w:rPr>
          <w:lang w:val="en-AU"/>
        </w:rPr>
        <w:t xml:space="preserve">perceived </w:t>
      </w:r>
      <w:r w:rsidR="00664942">
        <w:rPr>
          <w:lang w:val="en-AU"/>
        </w:rPr>
        <w:t>community orientation and close connection</w:t>
      </w:r>
      <w:r w:rsidR="009F3659">
        <w:rPr>
          <w:lang w:val="en-AU"/>
        </w:rPr>
        <w:t xml:space="preserve"> and interaction</w:t>
      </w:r>
      <w:r w:rsidR="00664942">
        <w:rPr>
          <w:lang w:val="en-AU"/>
        </w:rPr>
        <w:t xml:space="preserve"> with club members </w:t>
      </w:r>
      <w:r w:rsidR="00957943">
        <w:rPr>
          <w:lang w:val="en-AU"/>
        </w:rPr>
        <w:t xml:space="preserve">- </w:t>
      </w:r>
      <w:r w:rsidR="00664942">
        <w:rPr>
          <w:lang w:val="en-AU"/>
        </w:rPr>
        <w:t xml:space="preserve">which is held to reduce the </w:t>
      </w:r>
      <w:r w:rsidR="009F3659">
        <w:rPr>
          <w:lang w:val="en-AU"/>
        </w:rPr>
        <w:t>likelihood</w:t>
      </w:r>
      <w:r w:rsidR="00664942">
        <w:rPr>
          <w:lang w:val="en-AU"/>
        </w:rPr>
        <w:t xml:space="preserve"> of gambling problems. </w:t>
      </w:r>
      <w:r w:rsidR="001A7B40">
        <w:rPr>
          <w:lang w:val="en-AU"/>
        </w:rPr>
        <w:t>Moreover, i</w:t>
      </w:r>
      <w:r w:rsidR="00664942">
        <w:rPr>
          <w:lang w:val="en-AU"/>
        </w:rPr>
        <w:t>n some instances, the older age of club members is considered to reduce their prospects of experiencing gambling problems</w:t>
      </w:r>
      <w:r w:rsidR="005E39FA">
        <w:rPr>
          <w:lang w:val="en-AU"/>
        </w:rPr>
        <w:t xml:space="preserve"> – though the presumption that older people </w:t>
      </w:r>
      <w:r w:rsidR="00957943">
        <w:rPr>
          <w:lang w:val="en-AU"/>
        </w:rPr>
        <w:t xml:space="preserve">are less likely than others to experience gambling harm </w:t>
      </w:r>
      <w:r w:rsidR="005E39FA">
        <w:rPr>
          <w:lang w:val="en-AU"/>
        </w:rPr>
        <w:t xml:space="preserve">is not </w:t>
      </w:r>
      <w:r w:rsidR="00957943">
        <w:rPr>
          <w:lang w:val="en-AU"/>
        </w:rPr>
        <w:t>established</w:t>
      </w:r>
      <w:r w:rsidR="005E39FA">
        <w:rPr>
          <w:lang w:val="en-AU"/>
        </w:rPr>
        <w:t xml:space="preserve"> by </w:t>
      </w:r>
      <w:r w:rsidR="00554223">
        <w:rPr>
          <w:lang w:val="en-AU"/>
        </w:rPr>
        <w:t>the findings of any rigorous inquiry</w:t>
      </w:r>
      <w:r w:rsidR="005E39FA">
        <w:rPr>
          <w:lang w:val="en-AU"/>
        </w:rPr>
        <w:t>.</w:t>
      </w:r>
    </w:p>
    <w:p w14:paraId="7ECCB507" w14:textId="54171DE4" w:rsidR="005E39FA" w:rsidRDefault="00045B1E" w:rsidP="0023767E">
      <w:pPr>
        <w:spacing w:before="60" w:after="0" w:line="312" w:lineRule="auto"/>
        <w:jc w:val="both"/>
        <w:rPr>
          <w:lang w:val="en-AU"/>
        </w:rPr>
      </w:pPr>
      <w:r w:rsidRPr="00045B1E">
        <w:rPr>
          <w:i/>
          <w:iCs/>
          <w:lang w:val="en-AU"/>
        </w:rPr>
        <w:t>Alternative entertainment</w:t>
      </w:r>
      <w:r>
        <w:rPr>
          <w:lang w:val="en-AU"/>
        </w:rPr>
        <w:t xml:space="preserve">: </w:t>
      </w:r>
      <w:r w:rsidR="005E39FA">
        <w:rPr>
          <w:lang w:val="en-AU"/>
        </w:rPr>
        <w:t xml:space="preserve">Venues which present </w:t>
      </w:r>
      <w:r w:rsidR="005E39FA" w:rsidRPr="005E39FA">
        <w:rPr>
          <w:lang w:val="en-AU"/>
        </w:rPr>
        <w:t xml:space="preserve">a </w:t>
      </w:r>
      <w:r w:rsidR="00554223">
        <w:rPr>
          <w:lang w:val="en-AU"/>
        </w:rPr>
        <w:t>selection</w:t>
      </w:r>
      <w:r w:rsidR="005E39FA" w:rsidRPr="005E39FA">
        <w:rPr>
          <w:lang w:val="en-AU"/>
        </w:rPr>
        <w:t xml:space="preserve"> of alternative forms of recreation to patrons</w:t>
      </w:r>
      <w:r w:rsidR="005E39FA">
        <w:rPr>
          <w:lang w:val="en-AU"/>
        </w:rPr>
        <w:t xml:space="preserve"> are also considered to exert a protective effect against gambling problems, while those which have a limited </w:t>
      </w:r>
      <w:r w:rsidR="005E39FA" w:rsidRPr="005E39FA">
        <w:rPr>
          <w:lang w:val="en-AU"/>
        </w:rPr>
        <w:t>range of non-gambling activities on offer</w:t>
      </w:r>
      <w:r w:rsidR="009F3659">
        <w:rPr>
          <w:lang w:val="en-AU"/>
        </w:rPr>
        <w:t xml:space="preserve">, which offer </w:t>
      </w:r>
      <w:r w:rsidR="009F3659" w:rsidRPr="00957943">
        <w:rPr>
          <w:i/>
          <w:iCs/>
          <w:lang w:val="en-AU"/>
        </w:rPr>
        <w:t>only</w:t>
      </w:r>
      <w:r w:rsidR="009F3659">
        <w:rPr>
          <w:lang w:val="en-AU"/>
        </w:rPr>
        <w:t xml:space="preserve"> gaming for several hours each day</w:t>
      </w:r>
      <w:r w:rsidR="005E39FA" w:rsidRPr="005E39FA">
        <w:rPr>
          <w:lang w:val="en-AU"/>
        </w:rPr>
        <w:t>,</w:t>
      </w:r>
      <w:r w:rsidR="005E39FA">
        <w:rPr>
          <w:lang w:val="en-AU"/>
        </w:rPr>
        <w:t xml:space="preserve"> or which propose refurbishments which would not improve the scale of dining and other </w:t>
      </w:r>
      <w:r w:rsidR="009F3659">
        <w:rPr>
          <w:lang w:val="en-AU"/>
        </w:rPr>
        <w:t>entertainments</w:t>
      </w:r>
      <w:r w:rsidR="005E39FA">
        <w:rPr>
          <w:lang w:val="en-AU"/>
        </w:rPr>
        <w:t xml:space="preserve">, </w:t>
      </w:r>
      <w:r w:rsidR="00957943">
        <w:rPr>
          <w:lang w:val="en-AU"/>
        </w:rPr>
        <w:t>may</w:t>
      </w:r>
      <w:r w:rsidR="005E39FA">
        <w:rPr>
          <w:lang w:val="en-AU"/>
        </w:rPr>
        <w:t xml:space="preserve"> not</w:t>
      </w:r>
      <w:r w:rsidR="00957943">
        <w:rPr>
          <w:lang w:val="en-AU"/>
        </w:rPr>
        <w:t xml:space="preserve"> be</w:t>
      </w:r>
      <w:r w:rsidR="005E39FA">
        <w:rPr>
          <w:lang w:val="en-AU"/>
        </w:rPr>
        <w:t xml:space="preserve"> favoured.</w:t>
      </w:r>
    </w:p>
    <w:p w14:paraId="2C608B2F" w14:textId="7690B625" w:rsidR="009F3659" w:rsidRDefault="00045B1E" w:rsidP="0023767E">
      <w:pPr>
        <w:spacing w:before="60" w:after="0" w:line="312" w:lineRule="auto"/>
        <w:jc w:val="both"/>
        <w:rPr>
          <w:lang w:val="en-AU"/>
        </w:rPr>
      </w:pPr>
      <w:r w:rsidRPr="00045B1E">
        <w:rPr>
          <w:i/>
          <w:iCs/>
          <w:lang w:val="en-AU"/>
        </w:rPr>
        <w:t>Staff interaction with patrons</w:t>
      </w:r>
      <w:r>
        <w:rPr>
          <w:lang w:val="en-AU"/>
        </w:rPr>
        <w:t xml:space="preserve">: </w:t>
      </w:r>
      <w:r w:rsidR="0063147A">
        <w:rPr>
          <w:lang w:val="en-AU"/>
        </w:rPr>
        <w:t>The Commission holds that the</w:t>
      </w:r>
      <w:r w:rsidR="0063147A" w:rsidRPr="0063147A">
        <w:rPr>
          <w:lang w:val="en-AU"/>
        </w:rPr>
        <w:t xml:space="preserve"> prospect of gambling problem is lessened </w:t>
      </w:r>
      <w:r w:rsidR="00F75784">
        <w:rPr>
          <w:lang w:val="en-AU"/>
        </w:rPr>
        <w:t xml:space="preserve">in </w:t>
      </w:r>
      <w:r w:rsidR="00492140">
        <w:rPr>
          <w:lang w:val="en-AU"/>
        </w:rPr>
        <w:t xml:space="preserve">those </w:t>
      </w:r>
      <w:r w:rsidR="0063147A">
        <w:rPr>
          <w:lang w:val="en-AU"/>
        </w:rPr>
        <w:t>venues – usually clubs - where the staff</w:t>
      </w:r>
      <w:r w:rsidR="0063147A" w:rsidRPr="0063147A">
        <w:rPr>
          <w:lang w:val="en-AU"/>
        </w:rPr>
        <w:t xml:space="preserve"> know and </w:t>
      </w:r>
      <w:r w:rsidR="00F75784">
        <w:rPr>
          <w:lang w:val="en-AU"/>
        </w:rPr>
        <w:t>interact</w:t>
      </w:r>
      <w:r w:rsidR="0063147A" w:rsidRPr="0063147A">
        <w:rPr>
          <w:lang w:val="en-AU"/>
        </w:rPr>
        <w:t xml:space="preserve"> with </w:t>
      </w:r>
      <w:r w:rsidR="00F75784">
        <w:rPr>
          <w:lang w:val="en-AU"/>
        </w:rPr>
        <w:t>patrons</w:t>
      </w:r>
      <w:r w:rsidR="0063147A">
        <w:rPr>
          <w:lang w:val="en-AU"/>
        </w:rPr>
        <w:t xml:space="preserve">; and it is disposed to accept </w:t>
      </w:r>
      <w:r w:rsidR="001A7B40">
        <w:rPr>
          <w:lang w:val="en-AU"/>
        </w:rPr>
        <w:t>at face value, testimony</w:t>
      </w:r>
      <w:r w:rsidR="0063147A">
        <w:rPr>
          <w:lang w:val="en-AU"/>
        </w:rPr>
        <w:t xml:space="preserve"> to this effect made by </w:t>
      </w:r>
      <w:r w:rsidR="001A7B40">
        <w:rPr>
          <w:lang w:val="en-AU"/>
        </w:rPr>
        <w:t xml:space="preserve">venue </w:t>
      </w:r>
      <w:r w:rsidR="0063147A">
        <w:rPr>
          <w:lang w:val="en-AU"/>
        </w:rPr>
        <w:t>staff.</w:t>
      </w:r>
    </w:p>
    <w:p w14:paraId="37F30216" w14:textId="5D60F034" w:rsidR="009F3659" w:rsidRDefault="00045B1E" w:rsidP="0023767E">
      <w:pPr>
        <w:spacing w:before="60" w:after="0" w:line="312" w:lineRule="auto"/>
        <w:jc w:val="both"/>
        <w:rPr>
          <w:lang w:val="en-AU"/>
        </w:rPr>
      </w:pPr>
      <w:r w:rsidRPr="00045B1E">
        <w:rPr>
          <w:i/>
          <w:iCs/>
          <w:lang w:val="en-AU"/>
        </w:rPr>
        <w:t xml:space="preserve">Smaller </w:t>
      </w:r>
      <w:r w:rsidR="00554223">
        <w:rPr>
          <w:i/>
          <w:iCs/>
          <w:lang w:val="en-AU"/>
        </w:rPr>
        <w:t>size</w:t>
      </w:r>
      <w:r>
        <w:rPr>
          <w:lang w:val="en-AU"/>
        </w:rPr>
        <w:t xml:space="preserve">: </w:t>
      </w:r>
      <w:proofErr w:type="gramStart"/>
      <w:r w:rsidR="00F75784">
        <w:rPr>
          <w:lang w:val="en-AU"/>
        </w:rPr>
        <w:t>Smaller</w:t>
      </w:r>
      <w:proofErr w:type="gramEnd"/>
      <w:r w:rsidR="00F75784">
        <w:rPr>
          <w:lang w:val="en-AU"/>
        </w:rPr>
        <w:t xml:space="preserve"> venues are considered beneficial</w:t>
      </w:r>
      <w:r w:rsidR="00921094">
        <w:rPr>
          <w:lang w:val="en-AU"/>
        </w:rPr>
        <w:t>,</w:t>
      </w:r>
      <w:r w:rsidR="00957943">
        <w:rPr>
          <w:lang w:val="en-AU"/>
        </w:rPr>
        <w:t xml:space="preserve"> </w:t>
      </w:r>
      <w:r w:rsidR="00921094">
        <w:rPr>
          <w:lang w:val="en-AU"/>
        </w:rPr>
        <w:t>as a means to deprive</w:t>
      </w:r>
      <w:r w:rsidR="00957943">
        <w:rPr>
          <w:lang w:val="en-AU"/>
        </w:rPr>
        <w:t xml:space="preserve"> patrons of </w:t>
      </w:r>
      <w:r w:rsidR="001A7B40">
        <w:rPr>
          <w:lang w:val="en-AU"/>
        </w:rPr>
        <w:t>any</w:t>
      </w:r>
      <w:r w:rsidR="00957943">
        <w:rPr>
          <w:lang w:val="en-AU"/>
        </w:rPr>
        <w:t xml:space="preserve"> perception of anonymity</w:t>
      </w:r>
      <w:r w:rsidR="00921094">
        <w:rPr>
          <w:lang w:val="en-AU"/>
        </w:rPr>
        <w:t>,</w:t>
      </w:r>
      <w:r w:rsidR="00F75784">
        <w:rPr>
          <w:lang w:val="en-AU"/>
        </w:rPr>
        <w:t xml:space="preserve"> </w:t>
      </w:r>
      <w:r w:rsidR="00957943">
        <w:rPr>
          <w:lang w:val="en-AU"/>
        </w:rPr>
        <w:t>while</w:t>
      </w:r>
      <w:r w:rsidR="00F75784">
        <w:rPr>
          <w:lang w:val="en-AU"/>
        </w:rPr>
        <w:t xml:space="preserve"> providing staff with the means to </w:t>
      </w:r>
      <w:r w:rsidR="00921094">
        <w:rPr>
          <w:lang w:val="en-AU"/>
        </w:rPr>
        <w:t xml:space="preserve">more readily </w:t>
      </w:r>
      <w:r w:rsidR="00F75784">
        <w:rPr>
          <w:lang w:val="en-AU"/>
        </w:rPr>
        <w:t xml:space="preserve">detect gambling problems. </w:t>
      </w:r>
      <w:r w:rsidR="00455A57">
        <w:rPr>
          <w:lang w:val="en-AU"/>
        </w:rPr>
        <w:t xml:space="preserve">The Commission </w:t>
      </w:r>
      <w:r w:rsidR="00554223">
        <w:rPr>
          <w:lang w:val="en-AU"/>
        </w:rPr>
        <w:lastRenderedPageBreak/>
        <w:t xml:space="preserve">therefore </w:t>
      </w:r>
      <w:r w:rsidR="00455A57">
        <w:rPr>
          <w:lang w:val="en-AU"/>
        </w:rPr>
        <w:t xml:space="preserve">maintains that such conditions </w:t>
      </w:r>
      <w:r w:rsidR="00921094">
        <w:rPr>
          <w:lang w:val="en-AU"/>
        </w:rPr>
        <w:t>are</w:t>
      </w:r>
      <w:r w:rsidR="00455A57">
        <w:rPr>
          <w:lang w:val="en-AU"/>
        </w:rPr>
        <w:t xml:space="preserve"> less attractive to people with gambling problems, and reduce the risk of such difficulties among patrons. Conversely, larger venues are </w:t>
      </w:r>
      <w:r w:rsidR="00921094">
        <w:rPr>
          <w:lang w:val="en-AU"/>
        </w:rPr>
        <w:t>considered</w:t>
      </w:r>
      <w:r w:rsidR="00455A57">
        <w:rPr>
          <w:lang w:val="en-AU"/>
        </w:rPr>
        <w:t xml:space="preserve"> </w:t>
      </w:r>
      <w:r w:rsidR="006070D2">
        <w:rPr>
          <w:lang w:val="en-AU"/>
        </w:rPr>
        <w:t>more</w:t>
      </w:r>
      <w:r w:rsidR="00455A57">
        <w:rPr>
          <w:lang w:val="en-AU"/>
        </w:rPr>
        <w:t xml:space="preserve"> conducive</w:t>
      </w:r>
      <w:r w:rsidR="00554223">
        <w:rPr>
          <w:lang w:val="en-AU"/>
        </w:rPr>
        <w:t xml:space="preserve"> of,</w:t>
      </w:r>
      <w:r w:rsidR="00455A57">
        <w:rPr>
          <w:lang w:val="en-AU"/>
        </w:rPr>
        <w:t xml:space="preserve"> and appealing to people</w:t>
      </w:r>
      <w:r w:rsidR="00554223">
        <w:rPr>
          <w:lang w:val="en-AU"/>
        </w:rPr>
        <w:t xml:space="preserve"> with,</w:t>
      </w:r>
      <w:r w:rsidR="00455A57">
        <w:rPr>
          <w:lang w:val="en-AU"/>
        </w:rPr>
        <w:t xml:space="preserve"> gambling problems.</w:t>
      </w:r>
    </w:p>
    <w:p w14:paraId="5B45FAD6" w14:textId="01DDDBEF" w:rsidR="00455A57" w:rsidRDefault="00796386" w:rsidP="0023767E">
      <w:pPr>
        <w:spacing w:before="60" w:after="0" w:line="312" w:lineRule="auto"/>
        <w:jc w:val="both"/>
        <w:rPr>
          <w:lang w:val="en-AU"/>
        </w:rPr>
      </w:pPr>
      <w:r>
        <w:rPr>
          <w:i/>
          <w:iCs/>
          <w:lang w:val="en-AU"/>
        </w:rPr>
        <w:t>O</w:t>
      </w:r>
      <w:r w:rsidR="00045B1E" w:rsidRPr="00045B1E">
        <w:rPr>
          <w:i/>
          <w:iCs/>
          <w:lang w:val="en-AU"/>
        </w:rPr>
        <w:t>pening hours</w:t>
      </w:r>
      <w:r w:rsidR="00045B1E">
        <w:rPr>
          <w:lang w:val="en-AU"/>
        </w:rPr>
        <w:t xml:space="preserve">: </w:t>
      </w:r>
      <w:r w:rsidR="00455A57">
        <w:rPr>
          <w:lang w:val="en-AU"/>
        </w:rPr>
        <w:t xml:space="preserve">Similarly, the </w:t>
      </w:r>
      <w:r w:rsidR="006070D2">
        <w:rPr>
          <w:lang w:val="en-AU"/>
        </w:rPr>
        <w:t>Commission</w:t>
      </w:r>
      <w:r w:rsidR="00455A57">
        <w:rPr>
          <w:lang w:val="en-AU"/>
        </w:rPr>
        <w:t xml:space="preserve"> has expressed the view that venues with shorter opening hours</w:t>
      </w:r>
      <w:r w:rsidR="00921094">
        <w:rPr>
          <w:lang w:val="en-AU"/>
        </w:rPr>
        <w:t xml:space="preserve"> - typically</w:t>
      </w:r>
      <w:r w:rsidR="00455A57">
        <w:rPr>
          <w:lang w:val="en-AU"/>
        </w:rPr>
        <w:t xml:space="preserve"> clos</w:t>
      </w:r>
      <w:r w:rsidR="00921094">
        <w:rPr>
          <w:lang w:val="en-AU"/>
        </w:rPr>
        <w:t>ing</w:t>
      </w:r>
      <w:r w:rsidR="00455A57">
        <w:rPr>
          <w:lang w:val="en-AU"/>
        </w:rPr>
        <w:t xml:space="preserve"> at midnight to 2 am, rather than opening </w:t>
      </w:r>
      <w:r w:rsidR="006070D2">
        <w:rPr>
          <w:lang w:val="en-AU"/>
        </w:rPr>
        <w:t>until</w:t>
      </w:r>
      <w:r w:rsidR="00455A57">
        <w:rPr>
          <w:lang w:val="en-AU"/>
        </w:rPr>
        <w:t xml:space="preserve"> 4 am</w:t>
      </w:r>
      <w:r w:rsidR="00921094">
        <w:rPr>
          <w:lang w:val="en-AU"/>
        </w:rPr>
        <w:t xml:space="preserve"> - </w:t>
      </w:r>
      <w:r w:rsidR="00455A57">
        <w:rPr>
          <w:lang w:val="en-AU"/>
        </w:rPr>
        <w:t xml:space="preserve">are less likely to </w:t>
      </w:r>
      <w:r w:rsidR="006070D2">
        <w:rPr>
          <w:lang w:val="en-AU"/>
        </w:rPr>
        <w:t>contribute</w:t>
      </w:r>
      <w:r w:rsidR="00455A57">
        <w:rPr>
          <w:lang w:val="en-AU"/>
        </w:rPr>
        <w:t xml:space="preserve"> to gambling problem</w:t>
      </w:r>
      <w:r w:rsidR="006070D2">
        <w:rPr>
          <w:lang w:val="en-AU"/>
        </w:rPr>
        <w:t xml:space="preserve">s, </w:t>
      </w:r>
      <w:r w:rsidR="001A7B40">
        <w:rPr>
          <w:lang w:val="en-AU"/>
        </w:rPr>
        <w:t>based on the premise that</w:t>
      </w:r>
      <w:r w:rsidR="006070D2">
        <w:rPr>
          <w:lang w:val="en-AU"/>
        </w:rPr>
        <w:t xml:space="preserve"> problem gambling is most likely to occur at early hours in the morning. </w:t>
      </w:r>
    </w:p>
    <w:p w14:paraId="29A3A1FE" w14:textId="3D1E3E10" w:rsidR="009F3659" w:rsidRDefault="00045B1E" w:rsidP="0023767E">
      <w:pPr>
        <w:spacing w:before="60" w:after="0" w:line="312" w:lineRule="auto"/>
        <w:jc w:val="both"/>
        <w:rPr>
          <w:lang w:val="en-AU"/>
        </w:rPr>
      </w:pPr>
      <w:r w:rsidRPr="00045B1E">
        <w:rPr>
          <w:i/>
          <w:iCs/>
          <w:lang w:val="en-AU"/>
        </w:rPr>
        <w:t xml:space="preserve">Shielding of </w:t>
      </w:r>
      <w:r w:rsidR="00796386">
        <w:rPr>
          <w:i/>
          <w:iCs/>
          <w:lang w:val="en-AU"/>
        </w:rPr>
        <w:t xml:space="preserve">the </w:t>
      </w:r>
      <w:r w:rsidRPr="00045B1E">
        <w:rPr>
          <w:i/>
          <w:iCs/>
          <w:lang w:val="en-AU"/>
        </w:rPr>
        <w:t>gaming room</w:t>
      </w:r>
      <w:r>
        <w:rPr>
          <w:lang w:val="en-AU"/>
        </w:rPr>
        <w:t xml:space="preserve">: </w:t>
      </w:r>
      <w:r w:rsidR="00AD69CC">
        <w:rPr>
          <w:lang w:val="en-AU"/>
        </w:rPr>
        <w:t xml:space="preserve">Venue designs which </w:t>
      </w:r>
      <w:r w:rsidR="00F25129">
        <w:rPr>
          <w:lang w:val="en-AU"/>
        </w:rPr>
        <w:t xml:space="preserve">restrict direct access to, and visibility of, the gaming room are endorsed by the Commission </w:t>
      </w:r>
      <w:proofErr w:type="gramStart"/>
      <w:r w:rsidR="00F25129">
        <w:rPr>
          <w:lang w:val="en-AU"/>
        </w:rPr>
        <w:t>as a means to</w:t>
      </w:r>
      <w:proofErr w:type="gramEnd"/>
      <w:r w:rsidR="00F25129">
        <w:rPr>
          <w:lang w:val="en-AU"/>
        </w:rPr>
        <w:t xml:space="preserve"> deter people from impulsive gambling, raise the profile of alternate recreation offered at the premises, and improve the utility of the venue to people who do not wish to gamble. </w:t>
      </w:r>
      <w:r w:rsidR="001A7B40">
        <w:rPr>
          <w:lang w:val="en-AU"/>
        </w:rPr>
        <w:t>Applicant plans</w:t>
      </w:r>
      <w:r w:rsidR="00F25129">
        <w:rPr>
          <w:lang w:val="en-AU"/>
        </w:rPr>
        <w:t xml:space="preserve"> to shield the gaming room from other parts of the venue</w:t>
      </w:r>
      <w:r w:rsidR="00492140">
        <w:rPr>
          <w:lang w:val="en-AU"/>
        </w:rPr>
        <w:t xml:space="preserve"> with frosted glass, provide less prominent signage and install features to suppress noise from the gaming room</w:t>
      </w:r>
      <w:r w:rsidR="00F25129">
        <w:rPr>
          <w:lang w:val="en-AU"/>
        </w:rPr>
        <w:t>, are often favoured by the Commission.</w:t>
      </w:r>
      <w:r w:rsidR="00A57DE1">
        <w:rPr>
          <w:lang w:val="en-AU"/>
        </w:rPr>
        <w:t xml:space="preserve"> Inversely, criticism has been levelled at </w:t>
      </w:r>
      <w:r w:rsidR="00921094">
        <w:rPr>
          <w:lang w:val="en-AU"/>
        </w:rPr>
        <w:t>applicants</w:t>
      </w:r>
      <w:r w:rsidR="0056696C">
        <w:rPr>
          <w:lang w:val="en-AU"/>
        </w:rPr>
        <w:t xml:space="preserve"> where the venue features very prominent signage to the gaming room, where the gaming room and TAB are visible from patrons in other areas of the venue, where little has been done to alter these features in the past, or where any proposed refurbishments would do little to remedy such deficiencies in venue layout.</w:t>
      </w:r>
    </w:p>
    <w:p w14:paraId="169FDF7D" w14:textId="6AEBE24A" w:rsidR="00395947" w:rsidRDefault="00045B1E" w:rsidP="0023767E">
      <w:pPr>
        <w:spacing w:before="60" w:after="0" w:line="312" w:lineRule="auto"/>
        <w:jc w:val="both"/>
        <w:rPr>
          <w:lang w:val="en-AU"/>
        </w:rPr>
      </w:pPr>
      <w:r w:rsidRPr="00045B1E">
        <w:rPr>
          <w:i/>
          <w:iCs/>
          <w:lang w:val="en-AU"/>
        </w:rPr>
        <w:t>Responsible service of gaming</w:t>
      </w:r>
      <w:r>
        <w:rPr>
          <w:lang w:val="en-AU"/>
        </w:rPr>
        <w:t xml:space="preserve">: </w:t>
      </w:r>
      <w:r w:rsidR="00947FED">
        <w:rPr>
          <w:lang w:val="en-AU"/>
        </w:rPr>
        <w:t>Adherence to responsible service of gaming procedures - evidenced by a record clear of breaches, the testimony of staff, collaboration with Gambler’s Help, a responsible gambling policy</w:t>
      </w:r>
      <w:r w:rsidR="00CB217F">
        <w:rPr>
          <w:lang w:val="en-AU"/>
        </w:rPr>
        <w:t>, participating in a local government responsible gaming charter,</w:t>
      </w:r>
      <w:r w:rsidR="00947FED">
        <w:rPr>
          <w:lang w:val="en-AU"/>
        </w:rPr>
        <w:t xml:space="preserve"> or regular staff training – is considered likely to reduce the prevalence of problem gambling at a venue. </w:t>
      </w:r>
    </w:p>
    <w:p w14:paraId="01A29950" w14:textId="178AB31B" w:rsidR="00045B1E" w:rsidRDefault="00947FED" w:rsidP="0023767E">
      <w:pPr>
        <w:spacing w:after="0" w:line="312" w:lineRule="auto"/>
        <w:jc w:val="both"/>
        <w:rPr>
          <w:lang w:val="en-AU"/>
        </w:rPr>
      </w:pPr>
      <w:r>
        <w:rPr>
          <w:lang w:val="en-AU"/>
        </w:rPr>
        <w:t xml:space="preserve">Even so, the Commission appears receptive to research findings which </w:t>
      </w:r>
      <w:r w:rsidR="00554223">
        <w:rPr>
          <w:lang w:val="en-AU"/>
        </w:rPr>
        <w:t>attest</w:t>
      </w:r>
      <w:r>
        <w:rPr>
          <w:lang w:val="en-AU"/>
        </w:rPr>
        <w:t xml:space="preserve"> that such procedures, however </w:t>
      </w:r>
      <w:r w:rsidR="00395947">
        <w:rPr>
          <w:lang w:val="en-AU"/>
        </w:rPr>
        <w:t>conscientiously</w:t>
      </w:r>
      <w:r>
        <w:rPr>
          <w:lang w:val="en-AU"/>
        </w:rPr>
        <w:t xml:space="preserve"> implemented, may exert limited impact upon </w:t>
      </w:r>
      <w:r w:rsidR="00ED75E0">
        <w:rPr>
          <w:lang w:val="en-AU"/>
        </w:rPr>
        <w:t xml:space="preserve">gambling problems, and to the proposition that gambling problems have persisted for years, despite the almost universal adoption of basic responsible service of gambling procedures at Victorian venues. </w:t>
      </w:r>
      <w:r w:rsidR="00045B1E">
        <w:rPr>
          <w:lang w:val="en-AU"/>
        </w:rPr>
        <w:t>Such procedures are also held to be of less impact where the applicant fails to produce evidence of such practices, training of board members, or independent testimony as to the quality of such procedures.</w:t>
      </w:r>
    </w:p>
    <w:p w14:paraId="27555B39" w14:textId="39816162" w:rsidR="009F3659" w:rsidRDefault="00ED75E0" w:rsidP="0023767E">
      <w:pPr>
        <w:spacing w:after="0" w:line="312" w:lineRule="auto"/>
        <w:jc w:val="both"/>
        <w:rPr>
          <w:lang w:val="en-AU"/>
        </w:rPr>
      </w:pPr>
      <w:r>
        <w:rPr>
          <w:lang w:val="en-AU"/>
        </w:rPr>
        <w:t xml:space="preserve">Moreover, in one case, the Commission gave no weight to such </w:t>
      </w:r>
      <w:r w:rsidR="00554223">
        <w:rPr>
          <w:lang w:val="en-AU"/>
        </w:rPr>
        <w:t>measures</w:t>
      </w:r>
      <w:r>
        <w:rPr>
          <w:lang w:val="en-AU"/>
        </w:rPr>
        <w:t>, arguing that they were no more effective than those employed elsewhere.</w:t>
      </w:r>
    </w:p>
    <w:p w14:paraId="41AC6CD8" w14:textId="0D1F0AF2" w:rsidR="009863A0" w:rsidRDefault="00921094" w:rsidP="0023767E">
      <w:pPr>
        <w:spacing w:before="60" w:after="0" w:line="312" w:lineRule="auto"/>
        <w:jc w:val="both"/>
        <w:rPr>
          <w:lang w:val="en-AU"/>
        </w:rPr>
      </w:pPr>
      <w:r w:rsidRPr="00921094">
        <w:rPr>
          <w:i/>
          <w:iCs/>
          <w:lang w:val="en-AU"/>
        </w:rPr>
        <w:t>Gaming room surveillance</w:t>
      </w:r>
      <w:r w:rsidR="000B06A0">
        <w:rPr>
          <w:lang w:val="en-AU"/>
        </w:rPr>
        <w:t xml:space="preserve">: Increases in gaming room staff levels, to detect and respond to gambling problems, are favoured by the Commission. On the other hand, presented with a substantial rise in gaming machine numbers </w:t>
      </w:r>
      <w:r w:rsidR="00554223">
        <w:rPr>
          <w:lang w:val="en-AU"/>
        </w:rPr>
        <w:t>and</w:t>
      </w:r>
      <w:r w:rsidR="000B06A0">
        <w:rPr>
          <w:lang w:val="en-AU"/>
        </w:rPr>
        <w:t xml:space="preserve"> a small increase in gaming staff</w:t>
      </w:r>
      <w:r w:rsidR="00554223">
        <w:rPr>
          <w:lang w:val="en-AU"/>
        </w:rPr>
        <w:t>,</w:t>
      </w:r>
      <w:r w:rsidR="000B06A0">
        <w:rPr>
          <w:lang w:val="en-AU"/>
        </w:rPr>
        <w:t xml:space="preserve"> in one case, the Commission observed that it </w:t>
      </w:r>
      <w:r w:rsidR="000B06A0" w:rsidRPr="000B06A0">
        <w:rPr>
          <w:lang w:val="en-AU"/>
        </w:rPr>
        <w:t>would do little more than serve increased demand for the gaming room</w:t>
      </w:r>
      <w:r w:rsidR="00554223">
        <w:rPr>
          <w:lang w:val="en-AU"/>
        </w:rPr>
        <w:t>,</w:t>
      </w:r>
      <w:r w:rsidR="000B06A0" w:rsidRPr="000B06A0">
        <w:rPr>
          <w:lang w:val="en-AU"/>
        </w:rPr>
        <w:t xml:space="preserve"> rather than increase passive surveillance over that space</w:t>
      </w:r>
      <w:r w:rsidR="000B06A0">
        <w:rPr>
          <w:lang w:val="en-AU"/>
        </w:rPr>
        <w:t xml:space="preserve">. </w:t>
      </w:r>
    </w:p>
    <w:p w14:paraId="45B9DCA7" w14:textId="52B4644E" w:rsidR="00921094" w:rsidRDefault="00921094" w:rsidP="0023767E">
      <w:pPr>
        <w:spacing w:after="0" w:line="312" w:lineRule="auto"/>
        <w:jc w:val="both"/>
        <w:rPr>
          <w:lang w:val="en-AU"/>
        </w:rPr>
      </w:pPr>
      <w:r>
        <w:rPr>
          <w:lang w:val="en-AU"/>
        </w:rPr>
        <w:t xml:space="preserve">CCTV surveillance is also </w:t>
      </w:r>
      <w:r w:rsidR="00861B6A">
        <w:rPr>
          <w:lang w:val="en-AU"/>
        </w:rPr>
        <w:t>often credited</w:t>
      </w:r>
      <w:r>
        <w:rPr>
          <w:lang w:val="en-AU"/>
        </w:rPr>
        <w:t xml:space="preserve"> by the Commission </w:t>
      </w:r>
      <w:proofErr w:type="gramStart"/>
      <w:r>
        <w:rPr>
          <w:lang w:val="en-AU"/>
        </w:rPr>
        <w:t>as a means to</w:t>
      </w:r>
      <w:proofErr w:type="gramEnd"/>
      <w:r>
        <w:rPr>
          <w:lang w:val="en-AU"/>
        </w:rPr>
        <w:t xml:space="preserve"> detect and respond to problem gambling.</w:t>
      </w:r>
    </w:p>
    <w:p w14:paraId="6DF57214" w14:textId="5D9B0862" w:rsidR="00527ADD" w:rsidRDefault="00965B2C" w:rsidP="0023767E">
      <w:pPr>
        <w:spacing w:before="60" w:after="0" w:line="312" w:lineRule="auto"/>
        <w:jc w:val="both"/>
        <w:rPr>
          <w:lang w:val="en-AU"/>
        </w:rPr>
      </w:pPr>
      <w:r w:rsidRPr="00965B2C">
        <w:rPr>
          <w:i/>
          <w:iCs/>
          <w:lang w:val="en-AU"/>
        </w:rPr>
        <w:t>Convenience and destination venues</w:t>
      </w:r>
      <w:r>
        <w:rPr>
          <w:lang w:val="en-AU"/>
        </w:rPr>
        <w:t xml:space="preserve">: </w:t>
      </w:r>
      <w:r w:rsidR="00D20DC9">
        <w:rPr>
          <w:lang w:val="en-AU"/>
        </w:rPr>
        <w:t xml:space="preserve">Venues which are situated within, or in close proximity to, major shopping centres, are often characterised as ‘convenience </w:t>
      </w:r>
      <w:proofErr w:type="gramStart"/>
      <w:r w:rsidR="00527ADD">
        <w:rPr>
          <w:lang w:val="en-AU"/>
        </w:rPr>
        <w:t>venues’</w:t>
      </w:r>
      <w:proofErr w:type="gramEnd"/>
      <w:r w:rsidR="00D20DC9">
        <w:rPr>
          <w:lang w:val="en-AU"/>
        </w:rPr>
        <w:t xml:space="preserve">. The Commission considers that they may </w:t>
      </w:r>
      <w:r w:rsidR="009F72B4">
        <w:rPr>
          <w:lang w:val="en-AU"/>
        </w:rPr>
        <w:t xml:space="preserve">promote impulse gambling - </w:t>
      </w:r>
      <w:r w:rsidR="00D20DC9">
        <w:rPr>
          <w:lang w:val="en-AU"/>
        </w:rPr>
        <w:t>lur</w:t>
      </w:r>
      <w:r w:rsidR="009F72B4">
        <w:rPr>
          <w:lang w:val="en-AU"/>
        </w:rPr>
        <w:t>ing</w:t>
      </w:r>
      <w:r w:rsidR="00D20DC9">
        <w:rPr>
          <w:lang w:val="en-AU"/>
        </w:rPr>
        <w:t xml:space="preserve"> people who are passing by while conducting their shopping or other business</w:t>
      </w:r>
      <w:r w:rsidR="00527ADD">
        <w:rPr>
          <w:lang w:val="en-AU"/>
        </w:rPr>
        <w:t>. The Commission</w:t>
      </w:r>
      <w:r w:rsidR="00D20DC9">
        <w:rPr>
          <w:lang w:val="en-AU"/>
        </w:rPr>
        <w:t xml:space="preserve"> therefore tends to </w:t>
      </w:r>
      <w:r w:rsidR="009F72B4">
        <w:rPr>
          <w:lang w:val="en-AU"/>
        </w:rPr>
        <w:t>prefer</w:t>
      </w:r>
      <w:r w:rsidR="00D20DC9">
        <w:rPr>
          <w:lang w:val="en-AU"/>
        </w:rPr>
        <w:t xml:space="preserve"> venue locations which are more distant from or at the edge of large shopping centres, in industrial areas</w:t>
      </w:r>
      <w:r w:rsidR="00527ADD">
        <w:rPr>
          <w:lang w:val="en-AU"/>
        </w:rPr>
        <w:t xml:space="preserve"> or set back from main roads</w:t>
      </w:r>
      <w:r w:rsidR="00D20DC9">
        <w:rPr>
          <w:lang w:val="en-AU"/>
        </w:rPr>
        <w:t>, where there are relatively few pedestrians.</w:t>
      </w:r>
      <w:r w:rsidR="00527ADD">
        <w:rPr>
          <w:lang w:val="en-AU"/>
        </w:rPr>
        <w:t xml:space="preserve"> </w:t>
      </w:r>
    </w:p>
    <w:p w14:paraId="213AA924" w14:textId="22A67FC5" w:rsidR="009863A0" w:rsidRDefault="00527ADD" w:rsidP="0023767E">
      <w:pPr>
        <w:spacing w:after="0" w:line="312" w:lineRule="auto"/>
        <w:jc w:val="both"/>
        <w:rPr>
          <w:lang w:val="en-AU"/>
        </w:rPr>
      </w:pPr>
      <w:r>
        <w:rPr>
          <w:lang w:val="en-AU"/>
        </w:rPr>
        <w:lastRenderedPageBreak/>
        <w:t xml:space="preserve">The distinction between convenience and destination venues is not </w:t>
      </w:r>
      <w:r w:rsidR="009F72B4">
        <w:rPr>
          <w:lang w:val="en-AU"/>
        </w:rPr>
        <w:t>always</w:t>
      </w:r>
      <w:r>
        <w:rPr>
          <w:lang w:val="en-AU"/>
        </w:rPr>
        <w:t xml:space="preserve"> </w:t>
      </w:r>
      <w:r w:rsidR="009F72B4">
        <w:rPr>
          <w:lang w:val="en-AU"/>
        </w:rPr>
        <w:t>distinct</w:t>
      </w:r>
      <w:r>
        <w:rPr>
          <w:lang w:val="en-AU"/>
        </w:rPr>
        <w:t xml:space="preserve"> though</w:t>
      </w:r>
      <w:r w:rsidR="009F72B4">
        <w:rPr>
          <w:lang w:val="en-AU"/>
        </w:rPr>
        <w:t>, for i</w:t>
      </w:r>
      <w:r>
        <w:rPr>
          <w:lang w:val="en-AU"/>
        </w:rPr>
        <w:t xml:space="preserve">n some instances, the Commission has conceded that venues </w:t>
      </w:r>
      <w:r w:rsidR="002052A9">
        <w:rPr>
          <w:lang w:val="en-AU"/>
        </w:rPr>
        <w:t>in</w:t>
      </w:r>
      <w:r>
        <w:rPr>
          <w:lang w:val="en-AU"/>
        </w:rPr>
        <w:t xml:space="preserve"> residential areas or localities where most people own a car, may </w:t>
      </w:r>
      <w:r w:rsidR="009F72B4">
        <w:rPr>
          <w:lang w:val="en-AU"/>
        </w:rPr>
        <w:t xml:space="preserve">still </w:t>
      </w:r>
      <w:r w:rsidR="002052A9">
        <w:rPr>
          <w:lang w:val="en-AU"/>
        </w:rPr>
        <w:t>embody</w:t>
      </w:r>
      <w:r>
        <w:rPr>
          <w:lang w:val="en-AU"/>
        </w:rPr>
        <w:t xml:space="preserve"> features of a convenience venue.</w:t>
      </w:r>
    </w:p>
    <w:p w14:paraId="55257C51" w14:textId="77777777" w:rsidR="009F72B4" w:rsidRDefault="00DE3D0B" w:rsidP="0023767E">
      <w:pPr>
        <w:spacing w:before="60" w:after="0" w:line="312" w:lineRule="auto"/>
        <w:jc w:val="both"/>
        <w:rPr>
          <w:lang w:val="en-AU"/>
        </w:rPr>
      </w:pPr>
      <w:r w:rsidRPr="002052A9">
        <w:rPr>
          <w:i/>
          <w:iCs/>
          <w:lang w:val="en-AU"/>
        </w:rPr>
        <w:t>Proximity of subject venue to welfare agencies or family activities</w:t>
      </w:r>
      <w:r>
        <w:rPr>
          <w:lang w:val="en-AU"/>
        </w:rPr>
        <w:t xml:space="preserve">: </w:t>
      </w:r>
      <w:r w:rsidR="00544314">
        <w:rPr>
          <w:lang w:val="en-AU"/>
        </w:rPr>
        <w:t xml:space="preserve">In some instances, the Commission has </w:t>
      </w:r>
      <w:r w:rsidR="009F72B4">
        <w:rPr>
          <w:lang w:val="en-AU"/>
        </w:rPr>
        <w:t>acknowledged</w:t>
      </w:r>
      <w:r w:rsidR="00544314">
        <w:rPr>
          <w:lang w:val="en-AU"/>
        </w:rPr>
        <w:t xml:space="preserve"> the harm which may arise where a gaming venue is established in proximity to parks, pools and other public uses, where it may attract people who otherwise would not be expose to gambling. </w:t>
      </w:r>
    </w:p>
    <w:p w14:paraId="1ED60E37" w14:textId="56298449" w:rsidR="009863A0" w:rsidRDefault="00544314" w:rsidP="0023767E">
      <w:pPr>
        <w:spacing w:after="0" w:line="312" w:lineRule="auto"/>
        <w:jc w:val="both"/>
        <w:rPr>
          <w:lang w:val="en-AU"/>
        </w:rPr>
      </w:pPr>
      <w:r>
        <w:rPr>
          <w:lang w:val="en-AU"/>
        </w:rPr>
        <w:t xml:space="preserve">On other occasions though, the Commission has concluded that no ill effect would arise where a gaming venue is situated near welfare agencies – though without citing evidence to support </w:t>
      </w:r>
      <w:r w:rsidR="00554223">
        <w:rPr>
          <w:lang w:val="en-AU"/>
        </w:rPr>
        <w:t>its</w:t>
      </w:r>
      <w:r>
        <w:rPr>
          <w:lang w:val="en-AU"/>
        </w:rPr>
        <w:t xml:space="preserve"> contentions.</w:t>
      </w:r>
    </w:p>
    <w:p w14:paraId="2E184878" w14:textId="4E0ED663" w:rsidR="00544314" w:rsidRDefault="00544314" w:rsidP="0023767E">
      <w:pPr>
        <w:spacing w:after="0" w:line="312" w:lineRule="auto"/>
        <w:jc w:val="both"/>
        <w:rPr>
          <w:lang w:val="en-AU"/>
        </w:rPr>
      </w:pPr>
    </w:p>
    <w:p w14:paraId="7CA071D1" w14:textId="77777777" w:rsidR="00DD7B65" w:rsidRDefault="00DD7B65" w:rsidP="0023767E">
      <w:pPr>
        <w:spacing w:after="0" w:line="312" w:lineRule="auto"/>
        <w:jc w:val="both"/>
        <w:rPr>
          <w:b/>
          <w:bCs/>
          <w:lang w:val="en-AU"/>
        </w:rPr>
      </w:pPr>
      <w:r>
        <w:rPr>
          <w:b/>
          <w:bCs/>
          <w:lang w:val="en-AU"/>
        </w:rPr>
        <w:t>FURTHER ISSUES</w:t>
      </w:r>
    </w:p>
    <w:p w14:paraId="2A43645D" w14:textId="46927BB4" w:rsidR="00E60D2E" w:rsidRPr="008229D9" w:rsidRDefault="00E60D2E" w:rsidP="0023767E">
      <w:pPr>
        <w:spacing w:after="0" w:line="312" w:lineRule="auto"/>
        <w:jc w:val="both"/>
        <w:rPr>
          <w:i/>
          <w:iCs/>
          <w:lang w:val="en-AU"/>
        </w:rPr>
      </w:pPr>
      <w:r w:rsidRPr="008229D9">
        <w:rPr>
          <w:i/>
          <w:iCs/>
          <w:lang w:val="en-AU"/>
        </w:rPr>
        <w:t>Backfilling</w:t>
      </w:r>
    </w:p>
    <w:p w14:paraId="4E99F686" w14:textId="7DDBACB7" w:rsidR="00C95200" w:rsidRDefault="00E60D2E" w:rsidP="0023767E">
      <w:pPr>
        <w:spacing w:after="0" w:line="312" w:lineRule="auto"/>
        <w:jc w:val="both"/>
        <w:rPr>
          <w:lang w:val="en-AU"/>
        </w:rPr>
      </w:pPr>
      <w:r>
        <w:rPr>
          <w:lang w:val="en-AU"/>
        </w:rPr>
        <w:t xml:space="preserve">Some venues, chiefly clubs, </w:t>
      </w:r>
      <w:r w:rsidR="00557245">
        <w:rPr>
          <w:lang w:val="en-AU"/>
        </w:rPr>
        <w:t>have claimed</w:t>
      </w:r>
      <w:r>
        <w:rPr>
          <w:lang w:val="en-AU"/>
        </w:rPr>
        <w:t xml:space="preserve"> that if they do not secure permission to operate further </w:t>
      </w:r>
      <w:r w:rsidR="00557245">
        <w:rPr>
          <w:lang w:val="en-AU"/>
        </w:rPr>
        <w:t>gaming machines</w:t>
      </w:r>
      <w:r>
        <w:rPr>
          <w:lang w:val="en-AU"/>
        </w:rPr>
        <w:t>, then those entitlements may be acquired</w:t>
      </w:r>
      <w:r w:rsidR="002052A9">
        <w:rPr>
          <w:lang w:val="en-AU"/>
        </w:rPr>
        <w:t>,</w:t>
      </w:r>
      <w:r>
        <w:rPr>
          <w:lang w:val="en-AU"/>
        </w:rPr>
        <w:t xml:space="preserve"> and </w:t>
      </w:r>
      <w:r w:rsidR="00557245">
        <w:rPr>
          <w:lang w:val="en-AU"/>
        </w:rPr>
        <w:t xml:space="preserve">the </w:t>
      </w:r>
      <w:r>
        <w:rPr>
          <w:lang w:val="en-AU"/>
        </w:rPr>
        <w:t>EGMs installed</w:t>
      </w:r>
      <w:r w:rsidR="002052A9">
        <w:rPr>
          <w:lang w:val="en-AU"/>
        </w:rPr>
        <w:t>,</w:t>
      </w:r>
      <w:r>
        <w:rPr>
          <w:lang w:val="en-AU"/>
        </w:rPr>
        <w:t xml:space="preserve"> by local hotels. </w:t>
      </w:r>
      <w:r w:rsidR="00C95200">
        <w:rPr>
          <w:lang w:val="en-AU"/>
        </w:rPr>
        <w:t>Such hotels</w:t>
      </w:r>
      <w:r>
        <w:rPr>
          <w:lang w:val="en-AU"/>
        </w:rPr>
        <w:t xml:space="preserve">, </w:t>
      </w:r>
      <w:r w:rsidR="00C95200">
        <w:rPr>
          <w:lang w:val="en-AU"/>
        </w:rPr>
        <w:t xml:space="preserve">they </w:t>
      </w:r>
      <w:r w:rsidR="00557245">
        <w:rPr>
          <w:lang w:val="en-AU"/>
        </w:rPr>
        <w:t>declare</w:t>
      </w:r>
      <w:r>
        <w:rPr>
          <w:lang w:val="en-AU"/>
        </w:rPr>
        <w:t>, would provide less support to the community</w:t>
      </w:r>
      <w:r w:rsidR="00C95200">
        <w:rPr>
          <w:lang w:val="en-AU"/>
        </w:rPr>
        <w:t xml:space="preserve"> than their club,</w:t>
      </w:r>
      <w:r>
        <w:rPr>
          <w:lang w:val="en-AU"/>
        </w:rPr>
        <w:t xml:space="preserve"> and probably secure higher levels of gaming expenditure. </w:t>
      </w:r>
    </w:p>
    <w:p w14:paraId="56F1FC29" w14:textId="32064A82" w:rsidR="00E60D2E" w:rsidRDefault="00E60D2E" w:rsidP="0023767E">
      <w:pPr>
        <w:spacing w:after="0" w:line="312" w:lineRule="auto"/>
        <w:jc w:val="both"/>
        <w:rPr>
          <w:lang w:val="en-AU"/>
        </w:rPr>
      </w:pPr>
      <w:r>
        <w:rPr>
          <w:lang w:val="en-AU"/>
        </w:rPr>
        <w:t xml:space="preserve">The Commission has tended to </w:t>
      </w:r>
      <w:r w:rsidR="00B9489C">
        <w:rPr>
          <w:lang w:val="en-AU"/>
        </w:rPr>
        <w:t>disdain</w:t>
      </w:r>
      <w:r>
        <w:rPr>
          <w:lang w:val="en-AU"/>
        </w:rPr>
        <w:t xml:space="preserve"> such speculative conclusions</w:t>
      </w:r>
      <w:r w:rsidR="00B9489C">
        <w:rPr>
          <w:lang w:val="en-AU"/>
        </w:rPr>
        <w:t xml:space="preserve"> however</w:t>
      </w:r>
      <w:r>
        <w:rPr>
          <w:lang w:val="en-AU"/>
        </w:rPr>
        <w:t xml:space="preserve">, in one case citing with approval </w:t>
      </w:r>
      <w:r w:rsidR="00B9489C">
        <w:rPr>
          <w:lang w:val="en-AU"/>
        </w:rPr>
        <w:t>a counci</w:t>
      </w:r>
      <w:r w:rsidRPr="00E60D2E">
        <w:rPr>
          <w:lang w:val="en-AU"/>
        </w:rPr>
        <w:t xml:space="preserve">l's submission that the EGMs sought by a not been </w:t>
      </w:r>
      <w:r w:rsidR="00B9489C">
        <w:rPr>
          <w:lang w:val="en-AU"/>
        </w:rPr>
        <w:t xml:space="preserve">sought or </w:t>
      </w:r>
      <w:r w:rsidRPr="00E60D2E">
        <w:rPr>
          <w:lang w:val="en-AU"/>
        </w:rPr>
        <w:t xml:space="preserve">used </w:t>
      </w:r>
      <w:r w:rsidR="00B9489C">
        <w:rPr>
          <w:lang w:val="en-AU"/>
        </w:rPr>
        <w:t xml:space="preserve">by anyone else </w:t>
      </w:r>
      <w:r w:rsidRPr="00E60D2E">
        <w:rPr>
          <w:lang w:val="en-AU"/>
        </w:rPr>
        <w:t>for a considerable period</w:t>
      </w:r>
      <w:r w:rsidR="00B9489C">
        <w:rPr>
          <w:lang w:val="en-AU"/>
        </w:rPr>
        <w:t>,</w:t>
      </w:r>
      <w:r w:rsidRPr="00E60D2E">
        <w:rPr>
          <w:lang w:val="en-AU"/>
        </w:rPr>
        <w:t xml:space="preserve"> and that there was no </w:t>
      </w:r>
      <w:proofErr w:type="gramStart"/>
      <w:r w:rsidRPr="00E60D2E">
        <w:rPr>
          <w:lang w:val="en-AU"/>
        </w:rPr>
        <w:t>particular evidence</w:t>
      </w:r>
      <w:proofErr w:type="gramEnd"/>
      <w:r w:rsidRPr="00E60D2E">
        <w:rPr>
          <w:lang w:val="en-AU"/>
        </w:rPr>
        <w:t xml:space="preserve"> that they would be used elsewhere</w:t>
      </w:r>
      <w:r w:rsidR="00EC4FBE">
        <w:rPr>
          <w:lang w:val="en-AU"/>
        </w:rPr>
        <w:t xml:space="preserve">, </w:t>
      </w:r>
      <w:r w:rsidR="00C95200">
        <w:rPr>
          <w:lang w:val="en-AU"/>
        </w:rPr>
        <w:t>thereby</w:t>
      </w:r>
      <w:r w:rsidR="00EC4FBE">
        <w:rPr>
          <w:lang w:val="en-AU"/>
        </w:rPr>
        <w:t xml:space="preserve"> concluding</w:t>
      </w:r>
      <w:r w:rsidRPr="00E60D2E">
        <w:rPr>
          <w:lang w:val="en-AU"/>
        </w:rPr>
        <w:t xml:space="preserve"> that </w:t>
      </w:r>
      <w:r w:rsidR="00EC4FBE">
        <w:rPr>
          <w:lang w:val="en-AU"/>
        </w:rPr>
        <w:t>“…</w:t>
      </w:r>
      <w:r w:rsidRPr="00E60D2E">
        <w:rPr>
          <w:lang w:val="en-AU"/>
        </w:rPr>
        <w:t xml:space="preserve"> the prospect of backfilling</w:t>
      </w:r>
      <w:r w:rsidR="00EC4FBE">
        <w:rPr>
          <w:lang w:val="en-AU"/>
        </w:rPr>
        <w:t xml:space="preserve"> is</w:t>
      </w:r>
      <w:r w:rsidRPr="00E60D2E">
        <w:rPr>
          <w:lang w:val="en-AU"/>
        </w:rPr>
        <w:t xml:space="preserve"> speculative".</w:t>
      </w:r>
    </w:p>
    <w:p w14:paraId="3FD82ECD" w14:textId="77777777" w:rsidR="009863A0" w:rsidRDefault="009863A0" w:rsidP="0023767E">
      <w:pPr>
        <w:spacing w:after="0" w:line="312" w:lineRule="auto"/>
        <w:jc w:val="both"/>
        <w:rPr>
          <w:lang w:val="en-AU"/>
        </w:rPr>
      </w:pPr>
    </w:p>
    <w:p w14:paraId="6BF58C02" w14:textId="48A22415" w:rsidR="00340D0E" w:rsidRPr="008229D9" w:rsidRDefault="008229D9" w:rsidP="0023767E">
      <w:pPr>
        <w:spacing w:after="0" w:line="312" w:lineRule="auto"/>
        <w:jc w:val="both"/>
        <w:rPr>
          <w:i/>
          <w:iCs/>
          <w:lang w:val="en-AU"/>
        </w:rPr>
      </w:pPr>
      <w:r>
        <w:rPr>
          <w:i/>
          <w:iCs/>
          <w:lang w:val="en-AU"/>
        </w:rPr>
        <w:t>The presentation of e</w:t>
      </w:r>
      <w:r w:rsidR="00EC4FBE" w:rsidRPr="008229D9">
        <w:rPr>
          <w:i/>
          <w:iCs/>
          <w:lang w:val="en-AU"/>
        </w:rPr>
        <w:t>vidence</w:t>
      </w:r>
    </w:p>
    <w:p w14:paraId="0154E07A" w14:textId="553BE2D0" w:rsidR="00EC4FBE" w:rsidRDefault="00EC4FBE" w:rsidP="0023767E">
      <w:pPr>
        <w:spacing w:after="0" w:line="312" w:lineRule="auto"/>
        <w:jc w:val="both"/>
        <w:rPr>
          <w:lang w:val="en-AU"/>
        </w:rPr>
      </w:pPr>
      <w:r>
        <w:rPr>
          <w:lang w:val="en-AU"/>
        </w:rPr>
        <w:t>The Commission tends to favour several approaches to the preparation submissions and delivery of evidence at hearings to decide gaming applications. Among them:</w:t>
      </w:r>
    </w:p>
    <w:p w14:paraId="75791DE6" w14:textId="62718746" w:rsidR="00EC4FBE" w:rsidRDefault="00C95200" w:rsidP="008229D9">
      <w:pPr>
        <w:pStyle w:val="ListParagraph"/>
        <w:numPr>
          <w:ilvl w:val="0"/>
          <w:numId w:val="2"/>
        </w:numPr>
        <w:spacing w:after="0" w:line="312" w:lineRule="auto"/>
        <w:ind w:left="426"/>
        <w:jc w:val="both"/>
        <w:rPr>
          <w:lang w:val="en-AU"/>
        </w:rPr>
      </w:pPr>
      <w:r>
        <w:rPr>
          <w:lang w:val="en-AU"/>
        </w:rPr>
        <w:t>It</w:t>
      </w:r>
      <w:r w:rsidR="00942958">
        <w:rPr>
          <w:lang w:val="en-AU"/>
        </w:rPr>
        <w:t xml:space="preserve"> has expressed </w:t>
      </w:r>
      <w:r w:rsidR="00C21D84">
        <w:rPr>
          <w:lang w:val="en-AU"/>
        </w:rPr>
        <w:t>the view that</w:t>
      </w:r>
      <w:r w:rsidR="00942958">
        <w:rPr>
          <w:lang w:val="en-AU"/>
        </w:rPr>
        <w:t xml:space="preserve"> any </w:t>
      </w:r>
      <w:r w:rsidR="002052A9">
        <w:rPr>
          <w:lang w:val="en-AU"/>
        </w:rPr>
        <w:t>c</w:t>
      </w:r>
      <w:r w:rsidR="00F753E1">
        <w:rPr>
          <w:lang w:val="en-AU"/>
        </w:rPr>
        <w:t xml:space="preserve">ouncil opposing an application should </w:t>
      </w:r>
      <w:r w:rsidR="00557245">
        <w:rPr>
          <w:lang w:val="en-AU"/>
        </w:rPr>
        <w:t>provide oral testimony</w:t>
      </w:r>
      <w:r w:rsidR="00F753E1">
        <w:rPr>
          <w:lang w:val="en-AU"/>
        </w:rPr>
        <w:t xml:space="preserve"> at the hearing to enable claims presented in its submission to be </w:t>
      </w:r>
      <w:r w:rsidR="00942958">
        <w:rPr>
          <w:lang w:val="en-AU"/>
        </w:rPr>
        <w:t>properly</w:t>
      </w:r>
      <w:r w:rsidR="00F753E1">
        <w:rPr>
          <w:lang w:val="en-AU"/>
        </w:rPr>
        <w:t xml:space="preserve"> tested</w:t>
      </w:r>
      <w:r w:rsidR="00C21D84">
        <w:rPr>
          <w:lang w:val="en-AU"/>
        </w:rPr>
        <w:t xml:space="preserve"> under cross examination or questioning by members of the Commission</w:t>
      </w:r>
      <w:r w:rsidR="00F753E1">
        <w:rPr>
          <w:lang w:val="en-AU"/>
        </w:rPr>
        <w:t xml:space="preserve">. </w:t>
      </w:r>
      <w:r w:rsidR="00557245">
        <w:rPr>
          <w:lang w:val="en-AU"/>
        </w:rPr>
        <w:t>Otherwise,</w:t>
      </w:r>
      <w:r w:rsidR="00F753E1">
        <w:rPr>
          <w:lang w:val="en-AU"/>
        </w:rPr>
        <w:t xml:space="preserve"> </w:t>
      </w:r>
      <w:r w:rsidR="00C21D84">
        <w:rPr>
          <w:lang w:val="en-AU"/>
        </w:rPr>
        <w:t>it</w:t>
      </w:r>
      <w:r w:rsidR="00F753E1">
        <w:rPr>
          <w:lang w:val="en-AU"/>
        </w:rPr>
        <w:t xml:space="preserve"> </w:t>
      </w:r>
      <w:r w:rsidR="00557245">
        <w:rPr>
          <w:lang w:val="en-AU"/>
        </w:rPr>
        <w:t>may</w:t>
      </w:r>
      <w:r w:rsidR="00F753E1">
        <w:rPr>
          <w:lang w:val="en-AU"/>
        </w:rPr>
        <w:t xml:space="preserve"> assign</w:t>
      </w:r>
      <w:r w:rsidR="00557245">
        <w:rPr>
          <w:lang w:val="en-AU"/>
        </w:rPr>
        <w:t xml:space="preserve"> less weight to</w:t>
      </w:r>
      <w:r w:rsidR="00F753E1">
        <w:rPr>
          <w:lang w:val="en-AU"/>
        </w:rPr>
        <w:t xml:space="preserve"> </w:t>
      </w:r>
      <w:r w:rsidR="00557245">
        <w:rPr>
          <w:lang w:val="en-AU"/>
        </w:rPr>
        <w:t>the views of the council</w:t>
      </w:r>
      <w:r w:rsidR="00F753E1">
        <w:rPr>
          <w:lang w:val="en-AU"/>
        </w:rPr>
        <w:t xml:space="preserve"> than otherwise.</w:t>
      </w:r>
    </w:p>
    <w:p w14:paraId="63BB978A" w14:textId="07935A1D" w:rsidR="00F753E1" w:rsidRDefault="002052A9" w:rsidP="008229D9">
      <w:pPr>
        <w:pStyle w:val="ListParagraph"/>
        <w:numPr>
          <w:ilvl w:val="0"/>
          <w:numId w:val="2"/>
        </w:numPr>
        <w:spacing w:after="0" w:line="312" w:lineRule="auto"/>
        <w:ind w:left="426"/>
        <w:jc w:val="both"/>
        <w:rPr>
          <w:lang w:val="en-AU"/>
        </w:rPr>
      </w:pPr>
      <w:r>
        <w:rPr>
          <w:lang w:val="en-AU"/>
        </w:rPr>
        <w:t>It may be preferred that a council</w:t>
      </w:r>
      <w:r w:rsidR="00F753E1">
        <w:rPr>
          <w:lang w:val="en-AU"/>
        </w:rPr>
        <w:t xml:space="preserve"> meet with the applicant to enable it to explain the nature and purpose of its proposal, before preparing and tendering its submission. Failure to do so may attract </w:t>
      </w:r>
      <w:r w:rsidR="00C21D84">
        <w:rPr>
          <w:lang w:val="en-AU"/>
        </w:rPr>
        <w:t>reproach</w:t>
      </w:r>
      <w:r w:rsidR="00F753E1">
        <w:rPr>
          <w:lang w:val="en-AU"/>
        </w:rPr>
        <w:t>.</w:t>
      </w:r>
    </w:p>
    <w:p w14:paraId="63EBE0DB" w14:textId="3AF4CF05" w:rsidR="00F753E1" w:rsidRDefault="00F753E1" w:rsidP="008229D9">
      <w:pPr>
        <w:pStyle w:val="ListParagraph"/>
        <w:numPr>
          <w:ilvl w:val="0"/>
          <w:numId w:val="2"/>
        </w:numPr>
        <w:spacing w:after="0" w:line="312" w:lineRule="auto"/>
        <w:ind w:left="426"/>
        <w:jc w:val="both"/>
        <w:rPr>
          <w:lang w:val="en-AU"/>
        </w:rPr>
      </w:pPr>
      <w:r>
        <w:rPr>
          <w:lang w:val="en-AU"/>
        </w:rPr>
        <w:t>It is well to acknowledge any benefits of a proposal, should they exist, even if these appear to be outweighed by its liabilities</w:t>
      </w:r>
      <w:r w:rsidR="00C21D84">
        <w:rPr>
          <w:lang w:val="en-AU"/>
        </w:rPr>
        <w:t>.</w:t>
      </w:r>
    </w:p>
    <w:p w14:paraId="01207706" w14:textId="0020F29B" w:rsidR="00F753E1" w:rsidRDefault="002052A9" w:rsidP="008229D9">
      <w:pPr>
        <w:pStyle w:val="ListParagraph"/>
        <w:numPr>
          <w:ilvl w:val="0"/>
          <w:numId w:val="2"/>
        </w:numPr>
        <w:spacing w:after="0" w:line="312" w:lineRule="auto"/>
        <w:ind w:left="426"/>
        <w:jc w:val="both"/>
        <w:rPr>
          <w:lang w:val="en-AU"/>
        </w:rPr>
      </w:pPr>
      <w:r>
        <w:rPr>
          <w:lang w:val="en-AU"/>
        </w:rPr>
        <w:t xml:space="preserve">It is </w:t>
      </w:r>
      <w:r w:rsidR="00C21D84">
        <w:rPr>
          <w:lang w:val="en-AU"/>
        </w:rPr>
        <w:t>essential</w:t>
      </w:r>
      <w:r>
        <w:rPr>
          <w:lang w:val="en-AU"/>
        </w:rPr>
        <w:t xml:space="preserve"> for a council to base its </w:t>
      </w:r>
      <w:r w:rsidR="00942958">
        <w:rPr>
          <w:lang w:val="en-AU"/>
        </w:rPr>
        <w:t>opposition</w:t>
      </w:r>
      <w:r w:rsidR="00F753E1">
        <w:rPr>
          <w:lang w:val="en-AU"/>
        </w:rPr>
        <w:t xml:space="preserve"> to an application upon </w:t>
      </w:r>
      <w:r>
        <w:rPr>
          <w:lang w:val="en-AU"/>
        </w:rPr>
        <w:t xml:space="preserve">specific </w:t>
      </w:r>
      <w:r w:rsidR="00F753E1">
        <w:rPr>
          <w:lang w:val="en-AU"/>
        </w:rPr>
        <w:t xml:space="preserve">features of the proposal, rather </w:t>
      </w:r>
      <w:r w:rsidR="00942958">
        <w:rPr>
          <w:lang w:val="en-AU"/>
        </w:rPr>
        <w:t>than</w:t>
      </w:r>
      <w:r w:rsidR="00F753E1">
        <w:rPr>
          <w:lang w:val="en-AU"/>
        </w:rPr>
        <w:t xml:space="preserve"> on a general </w:t>
      </w:r>
      <w:r w:rsidR="00942958">
        <w:rPr>
          <w:lang w:val="en-AU"/>
        </w:rPr>
        <w:t>objection</w:t>
      </w:r>
      <w:r w:rsidR="00F753E1">
        <w:rPr>
          <w:lang w:val="en-AU"/>
        </w:rPr>
        <w:t xml:space="preserve"> to </w:t>
      </w:r>
      <w:r w:rsidR="00942958">
        <w:rPr>
          <w:lang w:val="en-AU"/>
        </w:rPr>
        <w:t>gambling</w:t>
      </w:r>
      <w:r w:rsidR="00C21D84">
        <w:rPr>
          <w:lang w:val="en-AU"/>
        </w:rPr>
        <w:t>.</w:t>
      </w:r>
    </w:p>
    <w:p w14:paraId="1CBC28DE" w14:textId="2F3826AC" w:rsidR="002052A9" w:rsidRDefault="002052A9" w:rsidP="008229D9">
      <w:pPr>
        <w:pStyle w:val="ListParagraph"/>
        <w:numPr>
          <w:ilvl w:val="0"/>
          <w:numId w:val="2"/>
        </w:numPr>
        <w:spacing w:after="0" w:line="312" w:lineRule="auto"/>
        <w:ind w:left="426"/>
        <w:jc w:val="both"/>
        <w:rPr>
          <w:lang w:val="en-AU"/>
        </w:rPr>
      </w:pPr>
      <w:r>
        <w:rPr>
          <w:lang w:val="en-AU"/>
        </w:rPr>
        <w:t xml:space="preserve">The Commission has </w:t>
      </w:r>
      <w:r w:rsidR="00C95200">
        <w:rPr>
          <w:lang w:val="en-AU"/>
        </w:rPr>
        <w:t>on occasion, objected</w:t>
      </w:r>
      <w:r>
        <w:rPr>
          <w:lang w:val="en-AU"/>
        </w:rPr>
        <w:t xml:space="preserve"> to councils</w:t>
      </w:r>
      <w:r w:rsidR="00942958">
        <w:rPr>
          <w:lang w:val="en-AU"/>
        </w:rPr>
        <w:t xml:space="preserve"> </w:t>
      </w:r>
      <w:r>
        <w:rPr>
          <w:lang w:val="en-AU"/>
        </w:rPr>
        <w:t>adopting</w:t>
      </w:r>
      <w:r w:rsidR="00942958">
        <w:rPr>
          <w:lang w:val="en-AU"/>
        </w:rPr>
        <w:t xml:space="preserve"> a policy which </w:t>
      </w:r>
      <w:r>
        <w:rPr>
          <w:lang w:val="en-AU"/>
        </w:rPr>
        <w:t>effectively opposes</w:t>
      </w:r>
      <w:r w:rsidR="00942958">
        <w:rPr>
          <w:lang w:val="en-AU"/>
        </w:rPr>
        <w:t xml:space="preserve"> </w:t>
      </w:r>
      <w:r w:rsidR="00E246F9">
        <w:rPr>
          <w:lang w:val="en-AU"/>
        </w:rPr>
        <w:t>any</w:t>
      </w:r>
      <w:r w:rsidR="00942958">
        <w:rPr>
          <w:lang w:val="en-AU"/>
        </w:rPr>
        <w:t xml:space="preserve"> </w:t>
      </w:r>
      <w:r w:rsidR="00E246F9">
        <w:rPr>
          <w:lang w:val="en-AU"/>
        </w:rPr>
        <w:t xml:space="preserve">gaming </w:t>
      </w:r>
      <w:r w:rsidR="00942958">
        <w:rPr>
          <w:lang w:val="en-AU"/>
        </w:rPr>
        <w:t xml:space="preserve">application in its district. </w:t>
      </w:r>
      <w:r>
        <w:rPr>
          <w:lang w:val="en-AU"/>
        </w:rPr>
        <w:t>An</w:t>
      </w:r>
      <w:r w:rsidR="00942958">
        <w:rPr>
          <w:lang w:val="en-AU"/>
        </w:rPr>
        <w:t xml:space="preserve"> example is a policy which opposes any increase in overall gaming machine numbers in a municipality</w:t>
      </w:r>
      <w:r w:rsidR="00C21D84">
        <w:rPr>
          <w:lang w:val="en-AU"/>
        </w:rPr>
        <w:t>,</w:t>
      </w:r>
      <w:r w:rsidR="00942958">
        <w:rPr>
          <w:lang w:val="en-AU"/>
        </w:rPr>
        <w:t xml:space="preserve"> beyond the metropolitan average – when the current density </w:t>
      </w:r>
      <w:r>
        <w:rPr>
          <w:lang w:val="en-AU"/>
        </w:rPr>
        <w:t>already stands at that level</w:t>
      </w:r>
      <w:r w:rsidR="00942958">
        <w:rPr>
          <w:lang w:val="en-AU"/>
        </w:rPr>
        <w:t>.</w:t>
      </w:r>
    </w:p>
    <w:p w14:paraId="7B294756" w14:textId="3FA59317" w:rsidR="00F753E1" w:rsidRPr="00EC4FBE" w:rsidRDefault="00942958" w:rsidP="008229D9">
      <w:pPr>
        <w:pStyle w:val="ListParagraph"/>
        <w:spacing w:after="0" w:line="312" w:lineRule="auto"/>
        <w:ind w:left="426"/>
        <w:jc w:val="both"/>
        <w:rPr>
          <w:lang w:val="en-AU"/>
        </w:rPr>
      </w:pPr>
      <w:r>
        <w:rPr>
          <w:lang w:val="en-AU"/>
        </w:rPr>
        <w:t xml:space="preserve">In one </w:t>
      </w:r>
      <w:r w:rsidR="002052A9">
        <w:rPr>
          <w:lang w:val="en-AU"/>
        </w:rPr>
        <w:t>instance</w:t>
      </w:r>
      <w:r>
        <w:rPr>
          <w:lang w:val="en-AU"/>
        </w:rPr>
        <w:t xml:space="preserve"> the </w:t>
      </w:r>
      <w:r w:rsidRPr="00942958">
        <w:rPr>
          <w:lang w:val="en-AU"/>
        </w:rPr>
        <w:t>Commission rebuke</w:t>
      </w:r>
      <w:r>
        <w:rPr>
          <w:lang w:val="en-AU"/>
        </w:rPr>
        <w:t>d</w:t>
      </w:r>
      <w:r w:rsidRPr="00942958">
        <w:rPr>
          <w:lang w:val="en-AU"/>
        </w:rPr>
        <w:t xml:space="preserve"> the council for its policy stance opposing any increase in EGMs in the municipality, </w:t>
      </w:r>
      <w:r w:rsidR="00C21D84">
        <w:rPr>
          <w:lang w:val="en-AU"/>
        </w:rPr>
        <w:t>concluding</w:t>
      </w:r>
      <w:r w:rsidRPr="00942958">
        <w:rPr>
          <w:lang w:val="en-AU"/>
        </w:rPr>
        <w:t xml:space="preserve"> that it is “…not assisted by a submission from a municipal authority that has resolved to object to the granting of an application without having undertaken relevant assessment of the application.”</w:t>
      </w:r>
    </w:p>
    <w:sectPr w:rsidR="00F753E1" w:rsidRPr="00EC4FBE" w:rsidSect="0023767E">
      <w:footerReference w:type="default" r:id="rId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2C28" w14:textId="77777777" w:rsidR="00B903DB" w:rsidRDefault="00B903DB" w:rsidP="0029246F">
      <w:pPr>
        <w:spacing w:after="0" w:line="240" w:lineRule="auto"/>
      </w:pPr>
      <w:r>
        <w:separator/>
      </w:r>
    </w:p>
  </w:endnote>
  <w:endnote w:type="continuationSeparator" w:id="0">
    <w:p w14:paraId="590FC479" w14:textId="77777777" w:rsidR="00B903DB" w:rsidRDefault="00B903DB" w:rsidP="0029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90711071"/>
      <w:docPartObj>
        <w:docPartGallery w:val="Page Numbers (Bottom of Page)"/>
        <w:docPartUnique/>
      </w:docPartObj>
    </w:sdtPr>
    <w:sdtEndPr>
      <w:rPr>
        <w:color w:val="7F7F7F" w:themeColor="background1" w:themeShade="7F"/>
        <w:spacing w:val="60"/>
      </w:rPr>
    </w:sdtEndPr>
    <w:sdtContent>
      <w:p w14:paraId="2B62FADC" w14:textId="3F824493" w:rsidR="0029246F" w:rsidRPr="0029246F" w:rsidRDefault="0029246F" w:rsidP="0029246F">
        <w:pPr>
          <w:pStyle w:val="Footer"/>
          <w:pBdr>
            <w:top w:val="single" w:sz="4" w:space="1" w:color="D9D9D9" w:themeColor="background1" w:themeShade="D9"/>
          </w:pBdr>
          <w:rPr>
            <w:b/>
            <w:bCs/>
            <w:sz w:val="18"/>
            <w:szCs w:val="18"/>
          </w:rPr>
        </w:pPr>
        <w:r w:rsidRPr="0029246F">
          <w:rPr>
            <w:sz w:val="18"/>
            <w:szCs w:val="18"/>
          </w:rPr>
          <w:fldChar w:fldCharType="begin"/>
        </w:r>
        <w:r w:rsidRPr="0029246F">
          <w:rPr>
            <w:sz w:val="18"/>
            <w:szCs w:val="18"/>
          </w:rPr>
          <w:instrText xml:space="preserve"> PAGE   \* MERGEFORMAT </w:instrText>
        </w:r>
        <w:r w:rsidRPr="0029246F">
          <w:rPr>
            <w:sz w:val="18"/>
            <w:szCs w:val="18"/>
          </w:rPr>
          <w:fldChar w:fldCharType="separate"/>
        </w:r>
        <w:r w:rsidRPr="0029246F">
          <w:rPr>
            <w:b/>
            <w:bCs/>
            <w:noProof/>
            <w:sz w:val="18"/>
            <w:szCs w:val="18"/>
          </w:rPr>
          <w:t>2</w:t>
        </w:r>
        <w:r w:rsidRPr="0029246F">
          <w:rPr>
            <w:b/>
            <w:bCs/>
            <w:noProof/>
            <w:sz w:val="18"/>
            <w:szCs w:val="18"/>
          </w:rPr>
          <w:fldChar w:fldCharType="end"/>
        </w:r>
        <w:r w:rsidRPr="0029246F">
          <w:rPr>
            <w:b/>
            <w:bCs/>
            <w:sz w:val="18"/>
            <w:szCs w:val="18"/>
          </w:rPr>
          <w:t xml:space="preserve"> | </w:t>
        </w:r>
        <w:r w:rsidRPr="0029246F">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CB0B" w14:textId="77777777" w:rsidR="00B903DB" w:rsidRDefault="00B903DB" w:rsidP="0029246F">
      <w:pPr>
        <w:spacing w:after="0" w:line="240" w:lineRule="auto"/>
      </w:pPr>
      <w:r>
        <w:separator/>
      </w:r>
    </w:p>
  </w:footnote>
  <w:footnote w:type="continuationSeparator" w:id="0">
    <w:p w14:paraId="46F0E293" w14:textId="77777777" w:rsidR="00B903DB" w:rsidRDefault="00B903DB" w:rsidP="00292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71D88"/>
    <w:multiLevelType w:val="hybridMultilevel"/>
    <w:tmpl w:val="36E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71A36"/>
    <w:multiLevelType w:val="hybridMultilevel"/>
    <w:tmpl w:val="60E22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797155">
    <w:abstractNumId w:val="0"/>
  </w:num>
  <w:num w:numId="2" w16cid:durableId="23999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C0"/>
    <w:rsid w:val="00023F8B"/>
    <w:rsid w:val="00031130"/>
    <w:rsid w:val="00045B1E"/>
    <w:rsid w:val="0007149E"/>
    <w:rsid w:val="00073398"/>
    <w:rsid w:val="000A7823"/>
    <w:rsid w:val="000B06A0"/>
    <w:rsid w:val="000B5274"/>
    <w:rsid w:val="000D2EA7"/>
    <w:rsid w:val="000E2B46"/>
    <w:rsid w:val="00130F48"/>
    <w:rsid w:val="00150486"/>
    <w:rsid w:val="001704D8"/>
    <w:rsid w:val="001A075E"/>
    <w:rsid w:val="001A7B40"/>
    <w:rsid w:val="001C1C93"/>
    <w:rsid w:val="001F2E11"/>
    <w:rsid w:val="001F7101"/>
    <w:rsid w:val="002052A9"/>
    <w:rsid w:val="002168E9"/>
    <w:rsid w:val="0023767E"/>
    <w:rsid w:val="00286EDD"/>
    <w:rsid w:val="0029246F"/>
    <w:rsid w:val="002E21DC"/>
    <w:rsid w:val="002F1BE1"/>
    <w:rsid w:val="00307858"/>
    <w:rsid w:val="00311B3A"/>
    <w:rsid w:val="0032014E"/>
    <w:rsid w:val="00333CC6"/>
    <w:rsid w:val="00340D0E"/>
    <w:rsid w:val="00352413"/>
    <w:rsid w:val="00376137"/>
    <w:rsid w:val="00383C1C"/>
    <w:rsid w:val="00395947"/>
    <w:rsid w:val="003A777F"/>
    <w:rsid w:val="003B0630"/>
    <w:rsid w:val="003B1531"/>
    <w:rsid w:val="003E6A87"/>
    <w:rsid w:val="00455A57"/>
    <w:rsid w:val="00473488"/>
    <w:rsid w:val="00475874"/>
    <w:rsid w:val="00492140"/>
    <w:rsid w:val="004A29CE"/>
    <w:rsid w:val="004D16DF"/>
    <w:rsid w:val="004D6986"/>
    <w:rsid w:val="005054F3"/>
    <w:rsid w:val="00505B43"/>
    <w:rsid w:val="00506CCE"/>
    <w:rsid w:val="00527ADD"/>
    <w:rsid w:val="005379AD"/>
    <w:rsid w:val="00544314"/>
    <w:rsid w:val="00554223"/>
    <w:rsid w:val="00557245"/>
    <w:rsid w:val="00560414"/>
    <w:rsid w:val="00561CD3"/>
    <w:rsid w:val="0056696C"/>
    <w:rsid w:val="00573BCB"/>
    <w:rsid w:val="005A029D"/>
    <w:rsid w:val="005B56A7"/>
    <w:rsid w:val="005B5C56"/>
    <w:rsid w:val="005C52C6"/>
    <w:rsid w:val="005C6EBA"/>
    <w:rsid w:val="005E39FA"/>
    <w:rsid w:val="00605E92"/>
    <w:rsid w:val="006070D2"/>
    <w:rsid w:val="00614030"/>
    <w:rsid w:val="00617754"/>
    <w:rsid w:val="00626FB1"/>
    <w:rsid w:val="0063147A"/>
    <w:rsid w:val="00644547"/>
    <w:rsid w:val="00644B1A"/>
    <w:rsid w:val="00664942"/>
    <w:rsid w:val="00676187"/>
    <w:rsid w:val="00693560"/>
    <w:rsid w:val="006C4B7B"/>
    <w:rsid w:val="006F0CC5"/>
    <w:rsid w:val="00700214"/>
    <w:rsid w:val="00714C0F"/>
    <w:rsid w:val="00717E03"/>
    <w:rsid w:val="0073740B"/>
    <w:rsid w:val="007861D9"/>
    <w:rsid w:val="00793196"/>
    <w:rsid w:val="00796386"/>
    <w:rsid w:val="007B57BB"/>
    <w:rsid w:val="007D3E5C"/>
    <w:rsid w:val="007E141B"/>
    <w:rsid w:val="007F6824"/>
    <w:rsid w:val="008229D9"/>
    <w:rsid w:val="0084162F"/>
    <w:rsid w:val="00861B6A"/>
    <w:rsid w:val="00872EDD"/>
    <w:rsid w:val="008855AE"/>
    <w:rsid w:val="00887177"/>
    <w:rsid w:val="008D02D7"/>
    <w:rsid w:val="008E231F"/>
    <w:rsid w:val="00921094"/>
    <w:rsid w:val="00924EFD"/>
    <w:rsid w:val="00925A18"/>
    <w:rsid w:val="00930900"/>
    <w:rsid w:val="00942958"/>
    <w:rsid w:val="0094652D"/>
    <w:rsid w:val="00947FED"/>
    <w:rsid w:val="00957943"/>
    <w:rsid w:val="00965B2C"/>
    <w:rsid w:val="00975102"/>
    <w:rsid w:val="0098125C"/>
    <w:rsid w:val="00983FB0"/>
    <w:rsid w:val="0098495E"/>
    <w:rsid w:val="009863A0"/>
    <w:rsid w:val="00992258"/>
    <w:rsid w:val="009A026A"/>
    <w:rsid w:val="009C729B"/>
    <w:rsid w:val="009E27CB"/>
    <w:rsid w:val="009F01D0"/>
    <w:rsid w:val="009F3659"/>
    <w:rsid w:val="009F72B4"/>
    <w:rsid w:val="00A4162C"/>
    <w:rsid w:val="00A44F57"/>
    <w:rsid w:val="00A57DE1"/>
    <w:rsid w:val="00AA6B36"/>
    <w:rsid w:val="00AC2F25"/>
    <w:rsid w:val="00AD69CC"/>
    <w:rsid w:val="00AE56AA"/>
    <w:rsid w:val="00AF1EE8"/>
    <w:rsid w:val="00B019F4"/>
    <w:rsid w:val="00B059A1"/>
    <w:rsid w:val="00B24EFF"/>
    <w:rsid w:val="00B33F9F"/>
    <w:rsid w:val="00B423DE"/>
    <w:rsid w:val="00B8757A"/>
    <w:rsid w:val="00B903DB"/>
    <w:rsid w:val="00B9489C"/>
    <w:rsid w:val="00B964C2"/>
    <w:rsid w:val="00BD7EB5"/>
    <w:rsid w:val="00BE6424"/>
    <w:rsid w:val="00C1706B"/>
    <w:rsid w:val="00C21D84"/>
    <w:rsid w:val="00C53016"/>
    <w:rsid w:val="00C64717"/>
    <w:rsid w:val="00C75890"/>
    <w:rsid w:val="00C90D13"/>
    <w:rsid w:val="00C95200"/>
    <w:rsid w:val="00C97D7E"/>
    <w:rsid w:val="00CA27C0"/>
    <w:rsid w:val="00CB217F"/>
    <w:rsid w:val="00CB78A0"/>
    <w:rsid w:val="00CC1A85"/>
    <w:rsid w:val="00CD00B4"/>
    <w:rsid w:val="00D20DC9"/>
    <w:rsid w:val="00D24806"/>
    <w:rsid w:val="00D41B84"/>
    <w:rsid w:val="00D47B17"/>
    <w:rsid w:val="00D744F9"/>
    <w:rsid w:val="00D76525"/>
    <w:rsid w:val="00DD21C2"/>
    <w:rsid w:val="00DD7B65"/>
    <w:rsid w:val="00DE3D0B"/>
    <w:rsid w:val="00DF13B2"/>
    <w:rsid w:val="00DF6418"/>
    <w:rsid w:val="00E11CED"/>
    <w:rsid w:val="00E246F9"/>
    <w:rsid w:val="00E53180"/>
    <w:rsid w:val="00E54BF2"/>
    <w:rsid w:val="00E60D2E"/>
    <w:rsid w:val="00E85652"/>
    <w:rsid w:val="00E86E09"/>
    <w:rsid w:val="00EA6EA7"/>
    <w:rsid w:val="00EC4FBE"/>
    <w:rsid w:val="00ED75E0"/>
    <w:rsid w:val="00F02603"/>
    <w:rsid w:val="00F25129"/>
    <w:rsid w:val="00F36032"/>
    <w:rsid w:val="00F440B4"/>
    <w:rsid w:val="00F678BE"/>
    <w:rsid w:val="00F753E1"/>
    <w:rsid w:val="00F75784"/>
    <w:rsid w:val="00F93064"/>
    <w:rsid w:val="00FA0D26"/>
    <w:rsid w:val="00FB09CB"/>
    <w:rsid w:val="00FC52CF"/>
    <w:rsid w:val="00FD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CD3B"/>
  <w15:chartTrackingRefBased/>
  <w15:docId w15:val="{A5B19049-A344-4BAA-BF96-5BD1D480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064"/>
    <w:pPr>
      <w:ind w:left="720"/>
      <w:contextualSpacing/>
    </w:pPr>
  </w:style>
  <w:style w:type="paragraph" w:styleId="Header">
    <w:name w:val="header"/>
    <w:basedOn w:val="Normal"/>
    <w:link w:val="HeaderChar"/>
    <w:uiPriority w:val="99"/>
    <w:unhideWhenUsed/>
    <w:rsid w:val="0029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46F"/>
  </w:style>
  <w:style w:type="paragraph" w:styleId="Footer">
    <w:name w:val="footer"/>
    <w:basedOn w:val="Normal"/>
    <w:link w:val="FooterChar"/>
    <w:uiPriority w:val="99"/>
    <w:unhideWhenUsed/>
    <w:rsid w:val="0029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5710</Words>
  <Characters>32549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2022-09-01T06:08:00Z</dcterms:created>
  <dcterms:modified xsi:type="dcterms:W3CDTF">2022-09-01T06:08:00Z</dcterms:modified>
</cp:coreProperties>
</file>